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8F6337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8F6337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6337">
              <w:rPr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8.25pt;height:51pt" o:ole="" fillcolor="window">
                  <v:imagedata r:id="rId5" o:title=""/>
                </v:shape>
                <o:OLEObject Type="Embed" ProgID="CorelDRAW.Graphic.6" ShapeID="_x0000_i1033" DrawAspect="Content" ObjectID="_1679913081" r:id="rId6"/>
              </w:object>
            </w:r>
          </w:p>
          <w:p w14:paraId="7E638577" w14:textId="77777777" w:rsidR="006A1FDB" w:rsidRPr="008F6337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F6337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8F6337">
              <w:rPr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8F6337" w:rsidRDefault="00400DB7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A1FDB" w:rsidRPr="008F6337">
              <w:rPr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8F633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8F6337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8F6337">
              <w:rPr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8F6337" w:rsidRDefault="00125284" w:rsidP="00EF59F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77777777" w:rsidR="006A1FDB" w:rsidRPr="008F6337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8F6337">
              <w:rPr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>
              <w:rPr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538A">
              <w:rPr>
                <w:b/>
                <w:color w:val="000000" w:themeColor="text1"/>
                <w:sz w:val="24"/>
                <w:szCs w:val="24"/>
              </w:rPr>
              <w:t>oglasa</w:t>
            </w:r>
            <w:r w:rsidR="005B20E3"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8F6337" w:rsidRDefault="005B20E3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8F6337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8F6337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>
              <w:rPr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8F63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8F6337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8F6337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7A33DFD6" w14:textId="77777777" w:rsidR="00C87065" w:rsidRDefault="00C87065" w:rsidP="00C87065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CC3714">
              <w:rPr>
                <w:color w:val="000000"/>
                <w:lang w:val="hr-HR"/>
              </w:rPr>
              <w:t>Klasa:</w:t>
            </w:r>
            <w:r>
              <w:rPr>
                <w:color w:val="000000"/>
                <w:lang w:val="hr-HR"/>
              </w:rPr>
              <w:t xml:space="preserve"> 112-03/21-01/01</w:t>
            </w:r>
          </w:p>
          <w:p w14:paraId="331F00B7" w14:textId="0B64B6FA" w:rsidR="00C87065" w:rsidRDefault="00C87065" w:rsidP="00C87065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proofErr w:type="spellStart"/>
            <w:r>
              <w:rPr>
                <w:color w:val="000000"/>
                <w:lang w:val="hr-HR"/>
              </w:rPr>
              <w:t>Urbroj</w:t>
            </w:r>
            <w:proofErr w:type="spellEnd"/>
            <w:r>
              <w:rPr>
                <w:color w:val="000000"/>
                <w:lang w:val="hr-HR"/>
              </w:rPr>
              <w:t>: 2155/01-02</w:t>
            </w:r>
            <w:r w:rsidRPr="00CC3714">
              <w:rPr>
                <w:color w:val="000000"/>
                <w:lang w:val="hr-HR"/>
              </w:rPr>
              <w:t>-</w:t>
            </w:r>
            <w:r>
              <w:rPr>
                <w:color w:val="000000"/>
                <w:lang w:val="hr-HR"/>
              </w:rPr>
              <w:t>21-</w:t>
            </w:r>
            <w:r>
              <w:rPr>
                <w:color w:val="000000"/>
                <w:lang w:val="hr-HR"/>
              </w:rPr>
              <w:t>21</w:t>
            </w:r>
          </w:p>
          <w:p w14:paraId="31CC4261" w14:textId="3C1744CF" w:rsidR="00C87065" w:rsidRDefault="00C87065" w:rsidP="00C87065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Omiš, 14. travnja 2021.</w:t>
            </w:r>
          </w:p>
          <w:p w14:paraId="2A0E76E8" w14:textId="71F2CE75" w:rsidR="006A1FDB" w:rsidRPr="00C87065" w:rsidRDefault="006A1FDB" w:rsidP="00612F2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43480" w:rsidRPr="00411C04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411C0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6A66EE33" w:rsidR="00043480" w:rsidRPr="00411C04" w:rsidRDefault="0043661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22.</w:t>
            </w:r>
            <w:r w:rsidR="001F41D5" w:rsidRPr="00411C04">
              <w:rPr>
                <w:color w:val="000000" w:themeColor="text1"/>
                <w:sz w:val="24"/>
                <w:szCs w:val="24"/>
                <w:lang w:eastAsia="en-US"/>
              </w:rPr>
              <w:t>, 29. stv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1F41D5" w:rsidRPr="00411C04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), Povjerenstvo za provedbu 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oglasa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F300F8" w:rsidRPr="00411C04">
              <w:rPr>
                <w:i/>
                <w:color w:val="000000" w:themeColor="text1"/>
                <w:sz w:val="24"/>
                <w:szCs w:val="24"/>
                <w:lang w:eastAsia="en-US"/>
              </w:rPr>
              <w:t>komunalni djelatnik</w:t>
            </w:r>
            <w:r w:rsidR="00F300F8" w:rsidRPr="00411C04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u Vlastiti pogon Grada Omiša, 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F300F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>sezonski</w:t>
            </w:r>
            <w:r w:rsidR="00C6538A" w:rsidRPr="00411C04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objavljuje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5B20E3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04348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043480"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="0004348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7EADD4CF" w14:textId="77777777" w:rsidR="00126467" w:rsidRDefault="00043480" w:rsidP="00EF454C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454C">
              <w:rPr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36613"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gu </w:t>
            </w:r>
            <w:r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454C">
              <w:rPr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36613" w:rsidRPr="00EF454C">
              <w:rPr>
                <w:color w:val="000000" w:themeColor="text1"/>
                <w:sz w:val="24"/>
                <w:szCs w:val="24"/>
                <w:lang w:eastAsia="en-US"/>
              </w:rPr>
              <w:t>i:</w:t>
            </w:r>
          </w:p>
          <w:p w14:paraId="6DCA140A" w14:textId="25A17C50" w:rsidR="00D21EE4" w:rsidRPr="00C87065" w:rsidRDefault="00D21EE4" w:rsidP="00C87065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7C6FB3CC" w14:textId="60313C1E" w:rsidR="00D21EE4" w:rsidRDefault="00D21EE4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Beović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Ivan</w:t>
            </w:r>
          </w:p>
          <w:p w14:paraId="5BDC403C" w14:textId="793032B3" w:rsidR="00997A81" w:rsidRDefault="00997A81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Boja Miroslav</w:t>
            </w:r>
          </w:p>
          <w:p w14:paraId="2D51FC5A" w14:textId="4E5ED411" w:rsidR="00C87065" w:rsidRDefault="00C87065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Brstilo Matko</w:t>
            </w:r>
          </w:p>
          <w:p w14:paraId="28FAA93E" w14:textId="56A4935C" w:rsidR="00D21EE4" w:rsidRDefault="00D21EE4" w:rsidP="00C87065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Bulić-Ivezić </w:t>
            </w:r>
            <w:r w:rsidR="00F2657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Marijo</w:t>
            </w:r>
          </w:p>
          <w:p w14:paraId="02B624CA" w14:textId="5C0C554C" w:rsidR="00997A81" w:rsidRPr="00C87065" w:rsidRDefault="00997A81" w:rsidP="00C87065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Ercegović Tino</w:t>
            </w:r>
          </w:p>
          <w:p w14:paraId="5998B2ED" w14:textId="77777777" w:rsidR="00C87065" w:rsidRDefault="00D21EE4" w:rsidP="00C87065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87065">
              <w:rPr>
                <w:color w:val="000000" w:themeColor="text1"/>
                <w:sz w:val="24"/>
                <w:szCs w:val="24"/>
                <w:lang w:eastAsia="en-US"/>
              </w:rPr>
              <w:t>Jurjević</w:t>
            </w:r>
            <w:r w:rsidR="00F26579" w:rsidRPr="00C8706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87065">
              <w:rPr>
                <w:color w:val="000000" w:themeColor="text1"/>
                <w:sz w:val="24"/>
                <w:szCs w:val="24"/>
                <w:lang w:eastAsia="en-US"/>
              </w:rPr>
              <w:t>Deni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>s</w:t>
            </w:r>
          </w:p>
          <w:p w14:paraId="098CDAF2" w14:textId="45B1D3F8" w:rsidR="00C87065" w:rsidRPr="00C87065" w:rsidRDefault="00C87065" w:rsidP="00C87065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C87065">
              <w:rPr>
                <w:color w:val="000000" w:themeColor="text1"/>
                <w:sz w:val="24"/>
                <w:szCs w:val="24"/>
                <w:lang w:eastAsia="en-US"/>
              </w:rPr>
              <w:t xml:space="preserve">Katunarić Željko </w:t>
            </w:r>
          </w:p>
          <w:p w14:paraId="41EABD7A" w14:textId="1D484550" w:rsidR="00D21EE4" w:rsidRPr="00C87065" w:rsidRDefault="00D21EE4" w:rsidP="00283596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87065">
              <w:rPr>
                <w:color w:val="000000" w:themeColor="text1"/>
                <w:sz w:val="24"/>
                <w:szCs w:val="24"/>
                <w:lang w:eastAsia="en-US"/>
              </w:rPr>
              <w:t>Katušić</w:t>
            </w:r>
            <w:proofErr w:type="spellEnd"/>
            <w:r w:rsidRPr="00C87065">
              <w:rPr>
                <w:color w:val="000000" w:themeColor="text1"/>
                <w:sz w:val="24"/>
                <w:szCs w:val="24"/>
                <w:lang w:eastAsia="en-US"/>
              </w:rPr>
              <w:t xml:space="preserve"> Marin</w:t>
            </w:r>
          </w:p>
          <w:p w14:paraId="6573D25A" w14:textId="219FC9F2" w:rsidR="00D21EE4" w:rsidRDefault="00D21EE4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Lozić Vinka</w:t>
            </w:r>
          </w:p>
          <w:p w14:paraId="2759A927" w14:textId="4915FF07" w:rsidR="00D21EE4" w:rsidRDefault="00D21EE4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Marušić Ivo</w:t>
            </w:r>
            <w:r w:rsidR="00F26579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35BB0A92" w14:textId="548F9D78" w:rsidR="00D21EE4" w:rsidRPr="00997A81" w:rsidRDefault="00997A81" w:rsidP="00997A81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Mašina Marijo</w:t>
            </w:r>
          </w:p>
          <w:p w14:paraId="70C1ACFF" w14:textId="27199D8A" w:rsidR="00997A81" w:rsidRPr="00997A81" w:rsidRDefault="00D21EE4" w:rsidP="00997A81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en-US"/>
              </w:rPr>
              <w:t>Nemčić</w:t>
            </w:r>
            <w:proofErr w:type="spellEnd"/>
            <w:r w:rsidR="00F26579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Ivica</w:t>
            </w:r>
          </w:p>
          <w:p w14:paraId="096897A3" w14:textId="29D656D1" w:rsidR="00997A81" w:rsidRPr="00997A81" w:rsidRDefault="00997A81" w:rsidP="00997A81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Pivčević Zdravko</w:t>
            </w:r>
          </w:p>
          <w:p w14:paraId="6DE51BCE" w14:textId="491C1D80" w:rsidR="00997A81" w:rsidRDefault="00997A81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Ribičić Marko</w:t>
            </w:r>
          </w:p>
          <w:p w14:paraId="588B6D98" w14:textId="549BA2E8" w:rsidR="00D21EE4" w:rsidRDefault="00D21EE4" w:rsidP="00D21EE4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Sabolić Josip</w:t>
            </w:r>
          </w:p>
          <w:p w14:paraId="77F83CFA" w14:textId="289D6A9C" w:rsidR="00D21EE4" w:rsidRPr="00997A81" w:rsidRDefault="00997A81" w:rsidP="00997A81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Stojan Denis</w:t>
            </w:r>
          </w:p>
          <w:p w14:paraId="76D2011A" w14:textId="2DF9246C" w:rsidR="00EF454C" w:rsidRPr="00997A81" w:rsidRDefault="00D21EE4" w:rsidP="00997A81">
            <w:pPr>
              <w:pStyle w:val="Odlomakpopisa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Škaričić Fran</w:t>
            </w:r>
            <w:r w:rsidR="00C87065">
              <w:rPr>
                <w:color w:val="000000" w:themeColor="text1"/>
                <w:sz w:val="24"/>
                <w:szCs w:val="24"/>
                <w:lang w:eastAsia="en-US"/>
              </w:rPr>
              <w:t>e</w:t>
            </w:r>
          </w:p>
          <w:p w14:paraId="71812C8B" w14:textId="77777777" w:rsidR="00C6538A" w:rsidRPr="00411C04" w:rsidRDefault="00C6538A" w:rsidP="00210417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396B222" w14:textId="734A12D9" w:rsidR="00B06571" w:rsidRPr="00EF454C" w:rsidRDefault="00126467" w:rsidP="00EF454C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F454C">
              <w:rPr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B5570F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21. travnja 2021. (srijeda) u 10.00</w:t>
            </w:r>
            <w:r w:rsidR="00B5570F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sati</w:t>
            </w:r>
            <w:r w:rsidR="00B5570F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, u </w:t>
            </w:r>
            <w:r w:rsidR="007C5A00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Omišu, </w:t>
            </w:r>
            <w:r w:rsidR="00997A8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Glagoljaška 11, </w:t>
            </w:r>
            <w:r w:rsidR="00997A8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prizemlj</w:t>
            </w:r>
            <w:r w:rsidR="00997A8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e</w:t>
            </w:r>
            <w:r w:rsidR="00997A8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97A81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97A8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„Ilirskog sjemeništa</w:t>
            </w:r>
            <w:r w:rsidR="00997A81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“,</w:t>
            </w:r>
            <w:r w:rsidR="00997A81" w:rsidRPr="00EF454C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5D4C2F16" w14:textId="77777777" w:rsidR="00B5570F" w:rsidRDefault="00B5570F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473C698A" w14:textId="7BC20524" w:rsidR="00411C04" w:rsidRDefault="00403177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Pravni izvori za pripremu kandidata za provjeru znanja</w:t>
            </w:r>
            <w:r w:rsidR="003036E1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6DBE6B18" w14:textId="77777777" w:rsidR="00997A81" w:rsidRDefault="00997A81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91123A8" w14:textId="77777777" w:rsidR="00997A81" w:rsidRDefault="00997A81" w:rsidP="00997A8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997A81">
              <w:rPr>
                <w:sz w:val="22"/>
                <w:szCs w:val="22"/>
              </w:rPr>
              <w:t>Zakon o lokalnoj i područnoj (regionalnoj) samoupravi,</w:t>
            </w:r>
          </w:p>
          <w:p w14:paraId="10333F93" w14:textId="77777777" w:rsidR="00957195" w:rsidRDefault="00997A81" w:rsidP="00997A81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97A81">
              <w:rPr>
                <w:sz w:val="22"/>
                <w:szCs w:val="22"/>
              </w:rPr>
              <w:t>(NN br. 33/01, 60/01, 129/05, 09/07, 125/08, 36/09,150/11, 144/12, 19/13, 137/15, 123/17</w:t>
            </w:r>
            <w:r w:rsidR="00957195">
              <w:rPr>
                <w:sz w:val="22"/>
                <w:szCs w:val="22"/>
              </w:rPr>
              <w:t>,</w:t>
            </w:r>
            <w:r w:rsidRPr="00997A81">
              <w:rPr>
                <w:sz w:val="22"/>
                <w:szCs w:val="22"/>
              </w:rPr>
              <w:t xml:space="preserve">  98/19</w:t>
            </w:r>
            <w:r w:rsidR="00957195">
              <w:rPr>
                <w:sz w:val="22"/>
                <w:szCs w:val="22"/>
              </w:rPr>
              <w:t xml:space="preserve"> </w:t>
            </w:r>
          </w:p>
          <w:p w14:paraId="3D1F7A2B" w14:textId="23A281E1" w:rsidR="00997A81" w:rsidRPr="00997A81" w:rsidRDefault="00957195" w:rsidP="00957195">
            <w:pPr>
              <w:ind w:left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 144/20</w:t>
            </w:r>
            <w:r w:rsidR="00997A81" w:rsidRPr="00997A8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="00997A81">
              <w:rPr>
                <w:sz w:val="22"/>
                <w:szCs w:val="22"/>
              </w:rPr>
              <w:t xml:space="preserve"> </w:t>
            </w:r>
            <w:r w:rsidR="00997A81" w:rsidRPr="00997A81">
              <w:rPr>
                <w:sz w:val="22"/>
                <w:szCs w:val="22"/>
              </w:rPr>
              <w:t xml:space="preserve">i to: </w:t>
            </w:r>
          </w:p>
          <w:p w14:paraId="7B9EA699" w14:textId="180ED434" w:rsidR="00997A81" w:rsidRPr="00997A81" w:rsidRDefault="00997A81" w:rsidP="00997A81">
            <w:pPr>
              <w:ind w:left="720"/>
              <w:contextualSpacing/>
              <w:rPr>
                <w:sz w:val="22"/>
                <w:szCs w:val="22"/>
              </w:rPr>
            </w:pPr>
            <w:r w:rsidRPr="00997A81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997A81">
              <w:rPr>
                <w:sz w:val="22"/>
                <w:szCs w:val="22"/>
              </w:rPr>
              <w:t xml:space="preserve"> Opće odredbe; </w:t>
            </w:r>
          </w:p>
          <w:p w14:paraId="106A39C4" w14:textId="1B808FCA" w:rsidR="00997A81" w:rsidRPr="00997A81" w:rsidRDefault="00997A81" w:rsidP="00997A81">
            <w:pPr>
              <w:ind w:left="720"/>
              <w:contextualSpacing/>
              <w:rPr>
                <w:sz w:val="22"/>
                <w:szCs w:val="22"/>
              </w:rPr>
            </w:pPr>
            <w:r w:rsidRPr="00997A81">
              <w:rPr>
                <w:sz w:val="22"/>
                <w:szCs w:val="22"/>
              </w:rPr>
              <w:t>V. Tijela jedinica lokalne samoup</w:t>
            </w:r>
            <w:r>
              <w:rPr>
                <w:sz w:val="22"/>
                <w:szCs w:val="22"/>
              </w:rPr>
              <w:t>r</w:t>
            </w:r>
            <w:r w:rsidRPr="00997A81">
              <w:rPr>
                <w:sz w:val="22"/>
                <w:szCs w:val="22"/>
              </w:rPr>
              <w:t xml:space="preserve">ave i područne (regionalne samouprave; </w:t>
            </w:r>
          </w:p>
          <w:p w14:paraId="6721CF62" w14:textId="5024112F" w:rsidR="00997A81" w:rsidRPr="00957195" w:rsidRDefault="00997A81" w:rsidP="00957195">
            <w:pPr>
              <w:ind w:left="720"/>
              <w:contextualSpacing/>
              <w:rPr>
                <w:sz w:val="22"/>
                <w:szCs w:val="22"/>
              </w:rPr>
            </w:pPr>
            <w:r w:rsidRPr="00997A8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997A81">
              <w:rPr>
                <w:sz w:val="22"/>
                <w:szCs w:val="22"/>
              </w:rPr>
              <w:t>. Upravni odjeli i službe jedinica lokalne i područne</w:t>
            </w:r>
            <w:r>
              <w:rPr>
                <w:sz w:val="22"/>
                <w:szCs w:val="22"/>
              </w:rPr>
              <w:t xml:space="preserve"> </w:t>
            </w:r>
            <w:r w:rsidRPr="00997A81">
              <w:rPr>
                <w:sz w:val="22"/>
                <w:szCs w:val="22"/>
              </w:rPr>
              <w:t>(reg</w:t>
            </w:r>
            <w:r>
              <w:rPr>
                <w:sz w:val="22"/>
                <w:szCs w:val="22"/>
              </w:rPr>
              <w:t>i</w:t>
            </w:r>
            <w:r w:rsidRPr="00997A81">
              <w:rPr>
                <w:sz w:val="22"/>
                <w:szCs w:val="22"/>
              </w:rPr>
              <w:t>onalne) samoup</w:t>
            </w:r>
            <w:r>
              <w:rPr>
                <w:sz w:val="22"/>
                <w:szCs w:val="22"/>
              </w:rPr>
              <w:t>r</w:t>
            </w:r>
            <w:r w:rsidRPr="00997A81">
              <w:rPr>
                <w:sz w:val="22"/>
                <w:szCs w:val="22"/>
              </w:rPr>
              <w:t>ave</w:t>
            </w:r>
            <w:r w:rsidRPr="00997A81">
              <w:rPr>
                <w:sz w:val="22"/>
                <w:szCs w:val="22"/>
              </w:rPr>
              <w:t xml:space="preserve"> </w:t>
            </w:r>
          </w:p>
          <w:p w14:paraId="6741C78F" w14:textId="718EBDA0" w:rsidR="00EF454C" w:rsidRPr="00EF454C" w:rsidRDefault="00EF454C" w:rsidP="00EF454C">
            <w:pPr>
              <w:rPr>
                <w:color w:val="000000"/>
                <w:sz w:val="22"/>
                <w:szCs w:val="22"/>
              </w:rPr>
            </w:pPr>
            <w:r w:rsidRPr="00EF454C">
              <w:rPr>
                <w:sz w:val="22"/>
                <w:szCs w:val="22"/>
              </w:rPr>
              <w:t xml:space="preserve">       –    Zakon o komunalnom gospodarstvu  </w:t>
            </w:r>
            <w:r w:rsidRPr="00EF454C">
              <w:rPr>
                <w:color w:val="000000" w:themeColor="text1"/>
                <w:sz w:val="22"/>
                <w:szCs w:val="22"/>
              </w:rPr>
              <w:t>(NN br. 68/18</w:t>
            </w:r>
            <w:r w:rsidR="0095719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D6198F">
              <w:rPr>
                <w:color w:val="000000" w:themeColor="text1"/>
                <w:sz w:val="22"/>
                <w:szCs w:val="22"/>
              </w:rPr>
              <w:t>110/18</w:t>
            </w:r>
            <w:r w:rsidR="00957195">
              <w:rPr>
                <w:color w:val="000000" w:themeColor="text1"/>
                <w:sz w:val="22"/>
                <w:szCs w:val="22"/>
              </w:rPr>
              <w:t xml:space="preserve"> i 32/20</w:t>
            </w:r>
            <w:r w:rsidRPr="00EF454C">
              <w:rPr>
                <w:color w:val="000000" w:themeColor="text1"/>
                <w:sz w:val="22"/>
                <w:szCs w:val="22"/>
              </w:rPr>
              <w:t>)</w:t>
            </w:r>
            <w:r w:rsidRPr="00EF454C">
              <w:rPr>
                <w:color w:val="000000"/>
              </w:rPr>
              <w:t>.</w:t>
            </w:r>
            <w:r w:rsidRPr="00EF454C">
              <w:rPr>
                <w:color w:val="000000"/>
              </w:rPr>
              <w:tab/>
            </w:r>
            <w:r w:rsidRPr="00EF454C">
              <w:rPr>
                <w:color w:val="000000"/>
              </w:rPr>
              <w:tab/>
            </w:r>
            <w:r w:rsidRPr="00EF454C">
              <w:rPr>
                <w:color w:val="000000"/>
              </w:rPr>
              <w:tab/>
            </w:r>
          </w:p>
          <w:p w14:paraId="6191B421" w14:textId="77777777" w:rsidR="00411C04" w:rsidRPr="00D6198F" w:rsidRDefault="00EF454C" w:rsidP="00D6198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EF454C">
              <w:rPr>
                <w:color w:val="000000"/>
                <w:sz w:val="22"/>
                <w:szCs w:val="22"/>
                <w:lang w:eastAsia="en-US"/>
              </w:rPr>
              <w:t xml:space="preserve">                    </w:t>
            </w:r>
          </w:p>
          <w:p w14:paraId="2DB84782" w14:textId="46F8CB8A" w:rsidR="00BE17B8" w:rsidRPr="00411C04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Na testiranje je potrebno ponijeti os</w:t>
            </w:r>
            <w:r w:rsidR="00CE5182" w:rsidRPr="00411C04">
              <w:rPr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E1030F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411C04">
              <w:rPr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923AAF">
              <w:rPr>
                <w:color w:val="000000" w:themeColor="text1"/>
                <w:sz w:val="24"/>
                <w:szCs w:val="24"/>
                <w:lang w:eastAsia="en-US"/>
              </w:rPr>
              <w:t>oglas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D40F78" w:rsidRPr="00411C04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  <w:r w:rsidR="00957195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0D6D90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411C0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0 sati, bez obzira na razloge. Smatrat će se da je prijav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411C04">
              <w:rPr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411C04">
              <w:rPr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45F4E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77F7F" w:rsidRPr="00411C04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745F4E">
              <w:rPr>
                <w:color w:val="000000" w:themeColor="text1"/>
                <w:sz w:val="24"/>
                <w:szCs w:val="24"/>
                <w:lang w:eastAsia="en-US"/>
              </w:rPr>
              <w:t>0,5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bod</w:t>
            </w:r>
            <w:r w:rsidR="00745F4E">
              <w:rPr>
                <w:color w:val="000000" w:themeColor="text1"/>
                <w:sz w:val="24"/>
                <w:szCs w:val="24"/>
                <w:lang w:eastAsia="en-US"/>
              </w:rPr>
              <w:t>a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210417" w:rsidRPr="00411C0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125284" w:rsidRPr="00411C04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411C04">
              <w:rPr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>
              <w:rPr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411C04" w:rsidRDefault="00D929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77777777" w:rsidR="00210417" w:rsidRPr="00411C04" w:rsidRDefault="008054E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ima koji na pisanom testiranju ostvare najmanje 50% bodova 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411C04">
              <w:rPr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77777777" w:rsidR="004213B0" w:rsidRDefault="00043480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411C04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411C04">
              <w:rPr>
                <w:color w:val="000000" w:themeColor="text1"/>
                <w:sz w:val="24"/>
                <w:szCs w:val="24"/>
                <w:lang w:eastAsia="en-US"/>
              </w:rPr>
              <w:t>oglasnoj ploči Grada Omiša u Omišu, Trg kralja Tomislava 5/I.kat</w:t>
            </w:r>
            <w:r w:rsidR="00210417" w:rsidRPr="00411C0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432C42DB" w:rsidR="00D92980" w:rsidRPr="00411C04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411C04">
              <w:rPr>
                <w:color w:val="000000" w:themeColor="text1"/>
                <w:sz w:val="24"/>
                <w:szCs w:val="24"/>
                <w:lang w:eastAsia="en-US"/>
              </w:rPr>
              <w:t>PREDSJEDNI</w:t>
            </w:r>
            <w:r w:rsidR="00957195">
              <w:rPr>
                <w:color w:val="000000" w:themeColor="text1"/>
                <w:sz w:val="24"/>
                <w:szCs w:val="24"/>
                <w:lang w:eastAsia="en-US"/>
              </w:rPr>
              <w:t xml:space="preserve">K </w:t>
            </w:r>
            <w:r w:rsidR="00782AEA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411C04" w:rsidRDefault="00D92980" w:rsidP="008352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411C04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411C04" w:rsidRDefault="006A1FDB" w:rsidP="0091326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11C04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436613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436613" w:rsidRDefault="00EC68FE" w:rsidP="00126467">
            <w:pPr>
              <w:rPr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471D"/>
    <w:rsid w:val="0006646D"/>
    <w:rsid w:val="00072F26"/>
    <w:rsid w:val="000C68F6"/>
    <w:rsid w:val="000D5FD7"/>
    <w:rsid w:val="000D6D90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F41D5"/>
    <w:rsid w:val="00210417"/>
    <w:rsid w:val="0023211F"/>
    <w:rsid w:val="0023425C"/>
    <w:rsid w:val="00252D31"/>
    <w:rsid w:val="002C085C"/>
    <w:rsid w:val="002F47B9"/>
    <w:rsid w:val="003036E1"/>
    <w:rsid w:val="00322615"/>
    <w:rsid w:val="00332DE6"/>
    <w:rsid w:val="00367408"/>
    <w:rsid w:val="003A3F73"/>
    <w:rsid w:val="003F3558"/>
    <w:rsid w:val="00400DB7"/>
    <w:rsid w:val="00403177"/>
    <w:rsid w:val="00411C04"/>
    <w:rsid w:val="0041276B"/>
    <w:rsid w:val="004202DA"/>
    <w:rsid w:val="004213B0"/>
    <w:rsid w:val="004246B1"/>
    <w:rsid w:val="00436613"/>
    <w:rsid w:val="00457993"/>
    <w:rsid w:val="00475EFF"/>
    <w:rsid w:val="004800EF"/>
    <w:rsid w:val="004805C4"/>
    <w:rsid w:val="0050723E"/>
    <w:rsid w:val="005B20E3"/>
    <w:rsid w:val="005B43CA"/>
    <w:rsid w:val="005B7F89"/>
    <w:rsid w:val="005C37ED"/>
    <w:rsid w:val="00612F22"/>
    <w:rsid w:val="00673DCE"/>
    <w:rsid w:val="0067779A"/>
    <w:rsid w:val="00681910"/>
    <w:rsid w:val="006A1FDB"/>
    <w:rsid w:val="006D0FE1"/>
    <w:rsid w:val="006F2A1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45B9"/>
    <w:rsid w:val="0083525F"/>
    <w:rsid w:val="008404EC"/>
    <w:rsid w:val="00842B79"/>
    <w:rsid w:val="0086525E"/>
    <w:rsid w:val="00896A17"/>
    <w:rsid w:val="008A15A4"/>
    <w:rsid w:val="008D7140"/>
    <w:rsid w:val="008F6337"/>
    <w:rsid w:val="0091326D"/>
    <w:rsid w:val="00923AAF"/>
    <w:rsid w:val="00933618"/>
    <w:rsid w:val="009377D0"/>
    <w:rsid w:val="00957195"/>
    <w:rsid w:val="00970A08"/>
    <w:rsid w:val="00997A81"/>
    <w:rsid w:val="009D028D"/>
    <w:rsid w:val="00A115ED"/>
    <w:rsid w:val="00A45FB8"/>
    <w:rsid w:val="00A56E64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B06571"/>
    <w:rsid w:val="00B300E3"/>
    <w:rsid w:val="00B5570F"/>
    <w:rsid w:val="00B86FFA"/>
    <w:rsid w:val="00B91247"/>
    <w:rsid w:val="00BA7ACC"/>
    <w:rsid w:val="00BC7B5C"/>
    <w:rsid w:val="00BE17B8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829"/>
    <w:rsid w:val="00D90181"/>
    <w:rsid w:val="00D92980"/>
    <w:rsid w:val="00DC56B2"/>
    <w:rsid w:val="00DE23E9"/>
    <w:rsid w:val="00E1030F"/>
    <w:rsid w:val="00E22DEF"/>
    <w:rsid w:val="00E90259"/>
    <w:rsid w:val="00EA1345"/>
    <w:rsid w:val="00EC68FE"/>
    <w:rsid w:val="00ED5744"/>
    <w:rsid w:val="00EF454C"/>
    <w:rsid w:val="00EF4C40"/>
    <w:rsid w:val="00F2224F"/>
    <w:rsid w:val="00F26579"/>
    <w:rsid w:val="00F26ECD"/>
    <w:rsid w:val="00F300F8"/>
    <w:rsid w:val="00F3325B"/>
    <w:rsid w:val="00F34C53"/>
    <w:rsid w:val="00F540DB"/>
    <w:rsid w:val="00F662F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4</cp:revision>
  <cp:lastPrinted>2013-07-19T14:16:00Z</cp:lastPrinted>
  <dcterms:created xsi:type="dcterms:W3CDTF">2021-04-14T11:17:00Z</dcterms:created>
  <dcterms:modified xsi:type="dcterms:W3CDTF">2021-04-14T11:45:00Z</dcterms:modified>
</cp:coreProperties>
</file>