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7B18731C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 Upravnog odjela za gospodarstvo i društvene djelatnosti objavljuj</w:t>
      </w:r>
      <w:r w:rsidR="00AD3CFC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3F2C17E8" w14:textId="77777777" w:rsidR="0096559B" w:rsidRDefault="0096559B" w:rsidP="0096559B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</w:p>
    <w:p w14:paraId="2A47B45A" w14:textId="0713BABB" w:rsidR="0072073C" w:rsidRPr="00F73772" w:rsidRDefault="0072073C" w:rsidP="00AD3CFC">
      <w:pPr>
        <w:pStyle w:val="natjecaj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hr-HR"/>
        </w:rPr>
      </w:pPr>
      <w:r w:rsidRPr="00F73772">
        <w:rPr>
          <w:b/>
          <w:bCs/>
          <w:color w:val="000000"/>
          <w:sz w:val="22"/>
          <w:szCs w:val="22"/>
          <w:lang w:val="hr-HR"/>
        </w:rPr>
        <w:t>U Upravni odjel za gospodarstvo i društvene djel</w:t>
      </w:r>
      <w:r w:rsidR="0039466D">
        <w:rPr>
          <w:b/>
          <w:bCs/>
          <w:color w:val="000000"/>
          <w:sz w:val="22"/>
          <w:szCs w:val="22"/>
          <w:lang w:val="hr-HR"/>
        </w:rPr>
        <w:t>a</w:t>
      </w:r>
      <w:r w:rsidRPr="00F73772">
        <w:rPr>
          <w:b/>
          <w:bCs/>
          <w:color w:val="000000"/>
          <w:sz w:val="22"/>
          <w:szCs w:val="22"/>
          <w:lang w:val="hr-HR"/>
        </w:rPr>
        <w:t>tnosti</w:t>
      </w:r>
    </w:p>
    <w:p w14:paraId="3E7A098D" w14:textId="77777777" w:rsidR="00056B47" w:rsidRDefault="00056B47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542C664C" w14:textId="222F8BE0" w:rsidR="0072073C" w:rsidRPr="00673BB3" w:rsidRDefault="00056B47" w:rsidP="00056B4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n</w:t>
      </w:r>
      <w:r w:rsidR="0072073C">
        <w:rPr>
          <w:color w:val="000000"/>
          <w:sz w:val="22"/>
          <w:szCs w:val="22"/>
          <w:lang w:val="hr-HR"/>
        </w:rPr>
        <w:t>a radno mjest</w:t>
      </w:r>
      <w:r>
        <w:rPr>
          <w:color w:val="000000"/>
          <w:sz w:val="22"/>
          <w:szCs w:val="22"/>
          <w:lang w:val="hr-HR"/>
        </w:rPr>
        <w:t>o</w:t>
      </w:r>
      <w:r w:rsidR="0072073C">
        <w:rPr>
          <w:color w:val="000000"/>
          <w:sz w:val="22"/>
          <w:szCs w:val="22"/>
          <w:lang w:val="hr-HR"/>
        </w:rPr>
        <w:t xml:space="preserve">: </w:t>
      </w:r>
      <w:r w:rsidR="00673BB3">
        <w:rPr>
          <w:i/>
          <w:iCs/>
          <w:color w:val="000000"/>
          <w:sz w:val="22"/>
          <w:szCs w:val="22"/>
          <w:lang w:val="hr-HR"/>
        </w:rPr>
        <w:t>viši stručni suradnik za gospodarstvo i društvene djelatnosti</w:t>
      </w:r>
      <w:r w:rsidR="00673BB3">
        <w:rPr>
          <w:color w:val="000000"/>
          <w:sz w:val="22"/>
          <w:szCs w:val="22"/>
          <w:lang w:val="hr-HR"/>
        </w:rPr>
        <w:t xml:space="preserve">, 1 izvršitelj </w:t>
      </w:r>
    </w:p>
    <w:p w14:paraId="6F172836" w14:textId="77777777" w:rsidR="00673BB3" w:rsidRDefault="00673BB3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>Uvjeti:</w:t>
      </w:r>
    </w:p>
    <w:p w14:paraId="5DA7641D" w14:textId="15CB3FA6" w:rsidR="00C0490E" w:rsidRDefault="007A3B35" w:rsidP="00673B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</w:t>
      </w:r>
      <w:r w:rsidR="00C0490E">
        <w:rPr>
          <w:color w:val="000000"/>
          <w:sz w:val="22"/>
          <w:szCs w:val="22"/>
          <w:lang w:val="hr-HR"/>
        </w:rPr>
        <w:t>agistar ili stručni specijalist iz područja društvenih znanosti</w:t>
      </w:r>
    </w:p>
    <w:p w14:paraId="688D62BD" w14:textId="7CF9754A" w:rsidR="0072073C" w:rsidRDefault="00FA64E4" w:rsidP="00673B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</w:t>
      </w:r>
      <w:r w:rsidR="00C0490E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jmanje 1 godina radnog iskustva na odgovarajućim posl</w:t>
      </w:r>
      <w:r w:rsidR="00961B00">
        <w:rPr>
          <w:color w:val="000000"/>
          <w:sz w:val="22"/>
          <w:szCs w:val="22"/>
          <w:lang w:val="hr-HR"/>
        </w:rPr>
        <w:t>o</w:t>
      </w:r>
      <w:r>
        <w:rPr>
          <w:color w:val="000000"/>
          <w:sz w:val="22"/>
          <w:szCs w:val="22"/>
          <w:lang w:val="hr-HR"/>
        </w:rPr>
        <w:t>vima</w:t>
      </w:r>
    </w:p>
    <w:p w14:paraId="741630F2" w14:textId="310BC8C2" w:rsidR="0072073C" w:rsidRPr="00FA64E4" w:rsidRDefault="00FA64E4" w:rsidP="0072073C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položen državni stručni ispit</w:t>
      </w:r>
    </w:p>
    <w:p w14:paraId="1EA665CB" w14:textId="77777777" w:rsidR="0072073C" w:rsidRPr="0072073C" w:rsidRDefault="0072073C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50DC24BE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svjedodžbe/diplome)</w:t>
      </w:r>
    </w:p>
    <w:p w14:paraId="0F59C0CB" w14:textId="0F6825DB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</w:t>
      </w:r>
      <w:proofErr w:type="spellStart"/>
      <w:r w:rsidR="00E36053" w:rsidRPr="004811F8">
        <w:rPr>
          <w:sz w:val="22"/>
          <w:szCs w:val="22"/>
        </w:rPr>
        <w:t>a+b</w:t>
      </w:r>
      <w:proofErr w:type="spellEnd"/>
      <w:r w:rsidR="00E36053" w:rsidRPr="004811F8">
        <w:rPr>
          <w:sz w:val="22"/>
          <w:szCs w:val="22"/>
        </w:rPr>
        <w:t>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393F62DF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>,</w:t>
      </w:r>
      <w:r w:rsidR="00872A20">
        <w:rPr>
          <w:color w:val="000000"/>
          <w:sz w:val="22"/>
          <w:szCs w:val="22"/>
          <w:lang w:val="hr-HR"/>
        </w:rPr>
        <w:t xml:space="preserve"> Upravni odjel za gospodarstvo i društvene djelatnosti,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7AC4D8BD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112-02/21-01/01</w:t>
      </w:r>
    </w:p>
    <w:p w14:paraId="4A0A2B18" w14:textId="4281A02E" w:rsidR="00A74C91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2155/01-04/1-21-2</w:t>
      </w:r>
    </w:p>
    <w:p w14:paraId="2E3D4BD1" w14:textId="77777777" w:rsidR="00A74C91" w:rsidRDefault="00A74C91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7CD5D88" w14:textId="77777777" w:rsidR="00A74C91" w:rsidRDefault="00A74C91" w:rsidP="00A74C9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3C89DA49" w14:textId="77777777" w:rsidR="00A74C91" w:rsidRDefault="00A74C91" w:rsidP="00A74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0F87FEFC" w14:textId="77777777" w:rsidR="00A74C91" w:rsidRDefault="00A74C91" w:rsidP="00A74C9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6F4DC291" w14:textId="79AFA877" w:rsidR="00A74C91" w:rsidRDefault="00A74C91" w:rsidP="00A74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VIŠI STRUČNI SURADNIK ZA </w:t>
      </w:r>
      <w:r w:rsidR="00F91694">
        <w:rPr>
          <w:b/>
          <w:sz w:val="22"/>
          <w:szCs w:val="22"/>
        </w:rPr>
        <w:t>GOSPODARSTVO I DRUŠTVENE DJELATNOSTI</w:t>
      </w:r>
    </w:p>
    <w:p w14:paraId="152E1749" w14:textId="77777777" w:rsidR="00A74C91" w:rsidRDefault="00A74C91" w:rsidP="00A74C91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2440007F" w14:textId="08FCFBE4" w:rsidR="00A74C91" w:rsidRDefault="00A74C91" w:rsidP="00A74C91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br/>
        <w:t>Natječaj je objavljen u Narodnim novinama  RH br.</w:t>
      </w:r>
      <w:r w:rsidR="003816B7">
        <w:rPr>
          <w:sz w:val="22"/>
          <w:szCs w:val="22"/>
          <w:lang w:val="hr-HR"/>
        </w:rPr>
        <w:t xml:space="preserve"> 131</w:t>
      </w:r>
      <w:r>
        <w:rPr>
          <w:sz w:val="22"/>
          <w:szCs w:val="22"/>
          <w:lang w:val="hr-HR"/>
        </w:rPr>
        <w:t xml:space="preserve">,  od </w:t>
      </w:r>
      <w:r w:rsidR="003816B7">
        <w:rPr>
          <w:sz w:val="22"/>
          <w:szCs w:val="22"/>
          <w:lang w:val="hr-HR"/>
        </w:rPr>
        <w:t>3.12.2021.</w:t>
      </w:r>
      <w:r>
        <w:rPr>
          <w:sz w:val="22"/>
          <w:szCs w:val="22"/>
          <w:lang w:val="hr-HR"/>
        </w:rPr>
        <w:t xml:space="preserve">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465FCBB9" w14:textId="7810A23C" w:rsidR="00A74C91" w:rsidRDefault="00A74C91" w:rsidP="00A74C91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3816B7">
        <w:rPr>
          <w:b/>
          <w:bCs/>
          <w:sz w:val="22"/>
          <w:szCs w:val="22"/>
        </w:rPr>
        <w:t>13.12.2021.</w:t>
      </w:r>
    </w:p>
    <w:p w14:paraId="64174BE6" w14:textId="77777777" w:rsidR="00A74C91" w:rsidRDefault="00A74C91" w:rsidP="00A74C91">
      <w:pPr>
        <w:rPr>
          <w:sz w:val="22"/>
          <w:szCs w:val="22"/>
        </w:rPr>
      </w:pPr>
    </w:p>
    <w:p w14:paraId="6CC7B2A2" w14:textId="3688383A" w:rsidR="00A74C91" w:rsidRDefault="00A74C91" w:rsidP="00A74C91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6BF3E9E7" w14:textId="77777777" w:rsidR="00F84EFE" w:rsidRPr="00F84EFE" w:rsidRDefault="00F84EFE" w:rsidP="00F84EFE">
      <w:pPr>
        <w:rPr>
          <w:color w:val="0D0D0D"/>
          <w:sz w:val="22"/>
          <w:szCs w:val="22"/>
        </w:rPr>
      </w:pPr>
      <w:r w:rsidRPr="00F84EFE">
        <w:rPr>
          <w:color w:val="0D0D0D"/>
          <w:sz w:val="22"/>
          <w:szCs w:val="22"/>
        </w:rPr>
        <w:t>Obavlja složene stručne poslove iz područja društvenih znanosti koji se odnose na pravne, ekonomske, javno upravljačke, informatičke, komunikacijske, socijalne, sigurnosno-obrambene, demografske, pedagoške, kineziološke, sociološke, opće i administrativne poslove za obradu, analizu, pripremu, izvještavanje, praćenje, koordinaciju, evidenciju, inventarizaciju, administriranje i uredsko poslovanje u gospodarstvu (strateško planiranje, fiskalna odgovornost, proračun, državne potpore, donacije, regionalni i ruralni razvoj, EU i nacionalni fondovi, cijene i zaštita potrošača, statistika, obrada šteta i naknada, osiguranja, potporne institucije) i društvenim djelatnostima (socijalna skrb, zdravlje, demografija, sport, kultura, zaštita i sigurnost, odgoj i obrazovanjem, financiranje korisnika javnih potreba), te obavljanje administrativnih poslova na obradi projekata koji se financiraju bespovratnim sredstvima EU, nacionalnih i drugih fondova.</w:t>
      </w:r>
    </w:p>
    <w:p w14:paraId="22E1D3A0" w14:textId="51C08BD2" w:rsidR="00F84EFE" w:rsidRDefault="00F84EFE" w:rsidP="00F84EFE">
      <w:pPr>
        <w:rPr>
          <w:color w:val="0D0D0D"/>
          <w:sz w:val="22"/>
          <w:szCs w:val="22"/>
        </w:rPr>
      </w:pPr>
      <w:r w:rsidRPr="00F84EFE">
        <w:rPr>
          <w:color w:val="0D0D0D"/>
          <w:sz w:val="22"/>
          <w:szCs w:val="22"/>
        </w:rPr>
        <w:t>Obavlja i druge poslove po nalogu nadređenog službenika, pročelnika ili gradonačelnika.</w:t>
      </w:r>
    </w:p>
    <w:p w14:paraId="62C0D27A" w14:textId="77777777" w:rsidR="00F84EFE" w:rsidRPr="00F84EFE" w:rsidRDefault="00F84EFE" w:rsidP="00F84EFE">
      <w:pPr>
        <w:rPr>
          <w:sz w:val="22"/>
          <w:szCs w:val="22"/>
        </w:rPr>
      </w:pPr>
    </w:p>
    <w:p w14:paraId="015F021D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E0B5AD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2BA68EF5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FC71B91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1,8.  </w:t>
      </w:r>
    </w:p>
    <w:p w14:paraId="0479619C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3FA243EC" w14:textId="77777777" w:rsidR="00A74C91" w:rsidRDefault="00A74C91" w:rsidP="00A74C91">
      <w:pPr>
        <w:rPr>
          <w:sz w:val="22"/>
          <w:szCs w:val="22"/>
        </w:rPr>
      </w:pPr>
    </w:p>
    <w:p w14:paraId="4F14974D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63FD4FF8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07F1C59F" w14:textId="272AFB3F" w:rsidR="00A74C91" w:rsidRPr="000F4851" w:rsidRDefault="00A74C91" w:rsidP="00A74C9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>-ispravak,  123/17, 98/19 i 144/20), i to p</w:t>
      </w:r>
      <w:r>
        <w:rPr>
          <w:sz w:val="22"/>
          <w:szCs w:val="22"/>
        </w:rPr>
        <w:t xml:space="preserve">oglavlja:  I. Opće odredbe, </w:t>
      </w:r>
      <w:r w:rsidR="00C303C9">
        <w:rPr>
          <w:sz w:val="22"/>
          <w:szCs w:val="22"/>
        </w:rPr>
        <w:t xml:space="preserve"> III. Samoupravni djelokrug općine, grada i županije,  </w:t>
      </w:r>
      <w:r>
        <w:rPr>
          <w:sz w:val="22"/>
          <w:szCs w:val="22"/>
        </w:rPr>
        <w:t>V. Tijela jedinica lokalne  samouprave   i jedinica područne (regionalne) samouprave  i VI. Upravni odjeli i službe  jedinica lokalne i područne (regionalne )samouprave</w:t>
      </w:r>
    </w:p>
    <w:p w14:paraId="10E45660" w14:textId="57C167AB" w:rsidR="000F4851" w:rsidRPr="008F5B6C" w:rsidRDefault="000F4851" w:rsidP="008F5B6C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socijalnoj</w:t>
      </w:r>
      <w:r w:rsidR="00C52BEA">
        <w:rPr>
          <w:color w:val="000000" w:themeColor="text1"/>
          <w:sz w:val="22"/>
          <w:szCs w:val="22"/>
        </w:rPr>
        <w:t xml:space="preserve"> skrbi</w:t>
      </w:r>
      <w:r w:rsidR="008F5B6C">
        <w:rPr>
          <w:color w:val="000000" w:themeColor="text1"/>
          <w:sz w:val="22"/>
          <w:szCs w:val="22"/>
        </w:rPr>
        <w:t xml:space="preserve"> – u dijelovima koji se odnose na nadležnost jedinice lokalne samouprave</w:t>
      </w:r>
      <w:r w:rsidR="00C52BEA">
        <w:rPr>
          <w:color w:val="000000" w:themeColor="text1"/>
          <w:sz w:val="22"/>
          <w:szCs w:val="22"/>
        </w:rPr>
        <w:t xml:space="preserve"> </w:t>
      </w:r>
      <w:r w:rsidR="00C52BEA" w:rsidRPr="00581B5C">
        <w:rPr>
          <w:color w:val="000000" w:themeColor="text1"/>
          <w:sz w:val="22"/>
          <w:szCs w:val="22"/>
        </w:rPr>
        <w:t>(NN </w:t>
      </w:r>
      <w:hyperlink r:id="rId12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157/13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13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152/14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14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99/15</w:t>
        </w:r>
      </w:hyperlink>
      <w:r w:rsidR="00C52BEA" w:rsidRPr="00581B5C">
        <w:rPr>
          <w:color w:val="000000" w:themeColor="text1"/>
          <w:sz w:val="22"/>
          <w:szCs w:val="22"/>
        </w:rPr>
        <w:t xml:space="preserve">,  </w:t>
      </w:r>
      <w:hyperlink r:id="rId15" w:tgtFrame="_blank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52/16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16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16/17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17" w:tgtFrame="_blank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130/17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18" w:tgtFrame="_blank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98/19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19" w:tgtFrame="_blank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64/20</w:t>
        </w:r>
      </w:hyperlink>
      <w:r w:rsidR="00C52BEA" w:rsidRPr="00581B5C">
        <w:rPr>
          <w:color w:val="000000" w:themeColor="text1"/>
          <w:sz w:val="22"/>
          <w:szCs w:val="22"/>
        </w:rPr>
        <w:t>, </w:t>
      </w:r>
      <w:hyperlink r:id="rId20" w:tgtFrame="_blank" w:history="1">
        <w:r w:rsidR="00C52BEA" w:rsidRPr="00581B5C">
          <w:rPr>
            <w:rStyle w:val="Hiperveza"/>
            <w:color w:val="000000" w:themeColor="text1"/>
            <w:sz w:val="22"/>
            <w:szCs w:val="22"/>
            <w:u w:val="none"/>
          </w:rPr>
          <w:t>138/20</w:t>
        </w:r>
      </w:hyperlink>
      <w:r w:rsidR="00C52BEA" w:rsidRPr="00581B5C">
        <w:rPr>
          <w:color w:val="000000" w:themeColor="text1"/>
          <w:sz w:val="22"/>
          <w:szCs w:val="22"/>
        </w:rPr>
        <w:t>)</w:t>
      </w:r>
    </w:p>
    <w:p w14:paraId="6F34980A" w14:textId="18813777" w:rsidR="000F4851" w:rsidRPr="00581B5C" w:rsidRDefault="00054DCD" w:rsidP="00A74C9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81B5C">
        <w:rPr>
          <w:color w:val="000000" w:themeColor="text1"/>
          <w:sz w:val="22"/>
          <w:szCs w:val="22"/>
        </w:rPr>
        <w:t xml:space="preserve">Zakon o sustavu strateškog planiranja </w:t>
      </w:r>
      <w:r w:rsidR="00581B5C">
        <w:rPr>
          <w:color w:val="000000" w:themeColor="text1"/>
          <w:sz w:val="22"/>
          <w:szCs w:val="22"/>
        </w:rPr>
        <w:t>i upravljanja razvojem RH</w:t>
      </w:r>
      <w:r w:rsidR="008F5B6C">
        <w:rPr>
          <w:color w:val="000000" w:themeColor="text1"/>
          <w:sz w:val="22"/>
          <w:szCs w:val="22"/>
        </w:rPr>
        <w:t xml:space="preserve"> - </w:t>
      </w:r>
      <w:r w:rsidR="008F5B6C" w:rsidRPr="008F5B6C">
        <w:rPr>
          <w:color w:val="000000" w:themeColor="text1"/>
          <w:sz w:val="22"/>
          <w:szCs w:val="22"/>
        </w:rPr>
        <w:t xml:space="preserve"> </w:t>
      </w:r>
      <w:r w:rsidR="008F5B6C">
        <w:rPr>
          <w:color w:val="000000" w:themeColor="text1"/>
          <w:sz w:val="22"/>
          <w:szCs w:val="22"/>
        </w:rPr>
        <w:t>u dijelovima koji se odnose na nadležnost jedinice lokalne samouprave</w:t>
      </w:r>
      <w:r w:rsidR="008F5B6C">
        <w:rPr>
          <w:color w:val="000000" w:themeColor="text1"/>
          <w:sz w:val="22"/>
          <w:szCs w:val="22"/>
        </w:rPr>
        <w:t xml:space="preserve"> </w:t>
      </w:r>
      <w:r w:rsidRPr="00581B5C">
        <w:rPr>
          <w:color w:val="000000" w:themeColor="text1"/>
          <w:sz w:val="22"/>
          <w:szCs w:val="22"/>
        </w:rPr>
        <w:t>(NN br. 123/17)</w:t>
      </w:r>
    </w:p>
    <w:p w14:paraId="16E95BA5" w14:textId="2CE4B5B2" w:rsidR="00054DCD" w:rsidRPr="00581B5C" w:rsidRDefault="00054DCD" w:rsidP="00A74C9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81B5C">
        <w:rPr>
          <w:color w:val="000000" w:themeColor="text1"/>
          <w:sz w:val="22"/>
          <w:szCs w:val="22"/>
        </w:rPr>
        <w:t xml:space="preserve">Zakon o unapređenju poduzetničke infrastrukture </w:t>
      </w:r>
      <w:r w:rsidR="008F5B6C">
        <w:rPr>
          <w:color w:val="000000" w:themeColor="text1"/>
          <w:sz w:val="22"/>
          <w:szCs w:val="22"/>
        </w:rPr>
        <w:t>-</w:t>
      </w:r>
      <w:r w:rsidR="008F5B6C" w:rsidRPr="008F5B6C">
        <w:rPr>
          <w:color w:val="000000" w:themeColor="text1"/>
          <w:sz w:val="22"/>
          <w:szCs w:val="22"/>
        </w:rPr>
        <w:t xml:space="preserve"> </w:t>
      </w:r>
      <w:r w:rsidR="008F5B6C">
        <w:rPr>
          <w:color w:val="000000" w:themeColor="text1"/>
          <w:sz w:val="22"/>
          <w:szCs w:val="22"/>
        </w:rPr>
        <w:t>u dijelovima koji se odnose na nadležnost jedinice lokalne samouprave</w:t>
      </w:r>
      <w:r w:rsidR="008F5B6C">
        <w:rPr>
          <w:color w:val="000000" w:themeColor="text1"/>
          <w:sz w:val="22"/>
          <w:szCs w:val="22"/>
        </w:rPr>
        <w:t xml:space="preserve">  </w:t>
      </w:r>
      <w:r w:rsidRPr="00581B5C">
        <w:rPr>
          <w:color w:val="000000" w:themeColor="text1"/>
          <w:sz w:val="22"/>
          <w:szCs w:val="22"/>
        </w:rPr>
        <w:t>(NN br. 93/13, 1154/13, 41/14, 47/14 i 57/18)</w:t>
      </w:r>
    </w:p>
    <w:p w14:paraId="194F71CC" w14:textId="77777777" w:rsidR="00A74C91" w:rsidRPr="00581B5C" w:rsidRDefault="00A74C91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A74C91" w:rsidRPr="00581B5C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15"/>
  </w:num>
  <w:num w:numId="5">
    <w:abstractNumId w:val="17"/>
  </w:num>
  <w:num w:numId="6">
    <w:abstractNumId w:val="23"/>
  </w:num>
  <w:num w:numId="7">
    <w:abstractNumId w:val="20"/>
  </w:num>
  <w:num w:numId="8">
    <w:abstractNumId w:val="7"/>
  </w:num>
  <w:num w:numId="9">
    <w:abstractNumId w:val="27"/>
  </w:num>
  <w:num w:numId="10">
    <w:abstractNumId w:val="12"/>
  </w:num>
  <w:num w:numId="11">
    <w:abstractNumId w:val="18"/>
  </w:num>
  <w:num w:numId="12">
    <w:abstractNumId w:val="14"/>
  </w:num>
  <w:num w:numId="13">
    <w:abstractNumId w:val="19"/>
  </w:num>
  <w:num w:numId="14">
    <w:abstractNumId w:val="6"/>
  </w:num>
  <w:num w:numId="15">
    <w:abstractNumId w:val="26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24"/>
  </w:num>
  <w:num w:numId="21">
    <w:abstractNumId w:val="0"/>
  </w:num>
  <w:num w:numId="22">
    <w:abstractNumId w:val="22"/>
  </w:num>
  <w:num w:numId="23">
    <w:abstractNumId w:val="2"/>
  </w:num>
  <w:num w:numId="24">
    <w:abstractNumId w:val="25"/>
  </w:num>
  <w:num w:numId="25">
    <w:abstractNumId w:val="9"/>
  </w:num>
  <w:num w:numId="26">
    <w:abstractNumId w:val="3"/>
  </w:num>
  <w:num w:numId="27">
    <w:abstractNumId w:val="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54DCD"/>
    <w:rsid w:val="00056B47"/>
    <w:rsid w:val="00065824"/>
    <w:rsid w:val="00091DC9"/>
    <w:rsid w:val="000B7E64"/>
    <w:rsid w:val="000D1CA3"/>
    <w:rsid w:val="000E6B2E"/>
    <w:rsid w:val="000F4136"/>
    <w:rsid w:val="000F44B0"/>
    <w:rsid w:val="000F4851"/>
    <w:rsid w:val="00104465"/>
    <w:rsid w:val="00131ECA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23F0A"/>
    <w:rsid w:val="00325A74"/>
    <w:rsid w:val="00326DEE"/>
    <w:rsid w:val="0033329F"/>
    <w:rsid w:val="0034101F"/>
    <w:rsid w:val="003472DB"/>
    <w:rsid w:val="00357866"/>
    <w:rsid w:val="0037369A"/>
    <w:rsid w:val="003816B7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7DB8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81B5C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E6D1E"/>
    <w:rsid w:val="008F3597"/>
    <w:rsid w:val="008F5B6C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41BA"/>
    <w:rsid w:val="009F38CF"/>
    <w:rsid w:val="00A04AFC"/>
    <w:rsid w:val="00A21FF3"/>
    <w:rsid w:val="00A22030"/>
    <w:rsid w:val="00A22EA7"/>
    <w:rsid w:val="00A26182"/>
    <w:rsid w:val="00A465BE"/>
    <w:rsid w:val="00A60C25"/>
    <w:rsid w:val="00A67063"/>
    <w:rsid w:val="00A74C91"/>
    <w:rsid w:val="00A922BC"/>
    <w:rsid w:val="00AA1AD4"/>
    <w:rsid w:val="00AC4B8C"/>
    <w:rsid w:val="00AD1475"/>
    <w:rsid w:val="00AD3CFC"/>
    <w:rsid w:val="00AD4BF6"/>
    <w:rsid w:val="00AE4444"/>
    <w:rsid w:val="00AF0319"/>
    <w:rsid w:val="00AF6205"/>
    <w:rsid w:val="00AF7237"/>
    <w:rsid w:val="00B134B4"/>
    <w:rsid w:val="00B16FA5"/>
    <w:rsid w:val="00B17F27"/>
    <w:rsid w:val="00B352C3"/>
    <w:rsid w:val="00B53490"/>
    <w:rsid w:val="00B628A9"/>
    <w:rsid w:val="00B977F8"/>
    <w:rsid w:val="00BB2574"/>
    <w:rsid w:val="00BE1316"/>
    <w:rsid w:val="00BE7C0B"/>
    <w:rsid w:val="00C0490E"/>
    <w:rsid w:val="00C06A8E"/>
    <w:rsid w:val="00C21054"/>
    <w:rsid w:val="00C303C9"/>
    <w:rsid w:val="00C417B8"/>
    <w:rsid w:val="00C452DC"/>
    <w:rsid w:val="00C52BEA"/>
    <w:rsid w:val="00C53746"/>
    <w:rsid w:val="00C74C06"/>
    <w:rsid w:val="00C84518"/>
    <w:rsid w:val="00CA330A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F6046"/>
    <w:rsid w:val="00E02642"/>
    <w:rsid w:val="00E36053"/>
    <w:rsid w:val="00E41AD2"/>
    <w:rsid w:val="00E43EA0"/>
    <w:rsid w:val="00E46BBE"/>
    <w:rsid w:val="00E50178"/>
    <w:rsid w:val="00E56225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104D"/>
    <w:rsid w:val="00F52228"/>
    <w:rsid w:val="00F73772"/>
    <w:rsid w:val="00F84EFE"/>
    <w:rsid w:val="00F91694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hyperlink" Target="https://www.zakon.hr/cms.htm?id=1677" TargetMode="External"/><Relationship Id="rId18" Type="http://schemas.openxmlformats.org/officeDocument/2006/relationships/hyperlink" Target="https://www.zakon.hr/cms.htm?id=407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s://www.zakon.hr/cms.htm?id=1675" TargetMode="External"/><Relationship Id="rId17" Type="http://schemas.openxmlformats.org/officeDocument/2006/relationships/hyperlink" Target="https://www.zakon.hr/cms.htm?id=262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61" TargetMode="External"/><Relationship Id="rId20" Type="http://schemas.openxmlformats.org/officeDocument/2006/relationships/hyperlink" Target="https://www.zakon.hr/cms.htm?id=465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hyperlink" Target="https://www.zakon.hr/cms.htm?id=16812" TargetMode="External"/><Relationship Id="rId10" Type="http://schemas.openxmlformats.org/officeDocument/2006/relationships/hyperlink" Target="http://narodne-novine.nn.hr/clanci/sluzbeni/2013_02_19_323.html" TargetMode="External"/><Relationship Id="rId19" Type="http://schemas.openxmlformats.org/officeDocument/2006/relationships/hyperlink" Target="https://www.zakon.hr/cms.htm?id=44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hyperlink" Target="https://www.zakon.hr/cms.htm?id=127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12</cp:revision>
  <cp:lastPrinted>2021-12-02T13:31:00Z</cp:lastPrinted>
  <dcterms:created xsi:type="dcterms:W3CDTF">2021-12-02T09:06:00Z</dcterms:created>
  <dcterms:modified xsi:type="dcterms:W3CDTF">2021-12-02T13:34:00Z</dcterms:modified>
</cp:coreProperties>
</file>