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C2635" w14:textId="0A3C89F3" w:rsidR="009B62E4" w:rsidRPr="009B62E4" w:rsidRDefault="009B62E4" w:rsidP="009B62E4">
      <w:pPr>
        <w:spacing w:after="0" w:line="240" w:lineRule="auto"/>
        <w:jc w:val="center"/>
        <w:rPr>
          <w:rFonts w:ascii="Times New Roman" w:eastAsia="Times New Roman" w:hAnsi="Times New Roman" w:cs="Times New Roman"/>
          <w:b/>
          <w:bCs/>
          <w:kern w:val="0"/>
          <w:sz w:val="28"/>
          <w:szCs w:val="28"/>
          <w:lang w:val="hr-HR" w:eastAsia="hr-HR"/>
          <w14:ligatures w14:val="none"/>
        </w:rPr>
      </w:pPr>
      <w:r w:rsidRPr="009B62E4">
        <w:rPr>
          <w:rFonts w:ascii="Times New Roman" w:eastAsia="Times New Roman" w:hAnsi="Times New Roman" w:cs="Times New Roman"/>
          <w:b/>
          <w:bCs/>
          <w:kern w:val="0"/>
          <w:sz w:val="28"/>
          <w:szCs w:val="28"/>
          <w:lang w:val="hr-HR" w:eastAsia="hr-HR"/>
          <w14:ligatures w14:val="none"/>
        </w:rPr>
        <w:t>OBRAZLOŽENJE</w:t>
      </w:r>
    </w:p>
    <w:p w14:paraId="587E3674" w14:textId="2CCDC8C0" w:rsidR="009B62E4" w:rsidRPr="009B62E4" w:rsidRDefault="009B62E4" w:rsidP="009B62E4">
      <w:pPr>
        <w:spacing w:after="0" w:line="240" w:lineRule="auto"/>
        <w:jc w:val="center"/>
        <w:rPr>
          <w:rFonts w:ascii="Times New Roman" w:eastAsia="Times New Roman" w:hAnsi="Times New Roman" w:cs="Times New Roman"/>
          <w:b/>
          <w:bCs/>
          <w:kern w:val="0"/>
          <w:sz w:val="28"/>
          <w:szCs w:val="28"/>
          <w:lang w:val="hr-HR" w:eastAsia="hr-HR"/>
          <w14:ligatures w14:val="none"/>
        </w:rPr>
      </w:pPr>
      <w:r w:rsidRPr="009B62E4">
        <w:rPr>
          <w:rFonts w:ascii="Times New Roman" w:eastAsia="Times New Roman" w:hAnsi="Times New Roman" w:cs="Times New Roman"/>
          <w:b/>
          <w:bCs/>
          <w:kern w:val="0"/>
          <w:sz w:val="28"/>
          <w:szCs w:val="28"/>
          <w:lang w:val="hr-HR" w:eastAsia="hr-HR"/>
          <w14:ligatures w14:val="none"/>
        </w:rPr>
        <w:t>Prijedloga Odluke o porezima Grada Omiša</w:t>
      </w:r>
    </w:p>
    <w:p w14:paraId="708A2FE2" w14:textId="77777777" w:rsidR="009B62E4" w:rsidRDefault="009B62E4" w:rsidP="009B62E4">
      <w:pPr>
        <w:spacing w:after="0" w:line="240" w:lineRule="auto"/>
        <w:rPr>
          <w:rFonts w:ascii="Times New Roman" w:eastAsia="Times New Roman" w:hAnsi="Times New Roman" w:cs="Times New Roman"/>
          <w:kern w:val="0"/>
          <w:sz w:val="22"/>
          <w:szCs w:val="22"/>
          <w:lang w:val="hr-HR" w:eastAsia="hr-HR"/>
          <w14:ligatures w14:val="none"/>
        </w:rPr>
      </w:pPr>
    </w:p>
    <w:p w14:paraId="5F2E9292" w14:textId="77777777" w:rsidR="009B62E4" w:rsidRPr="009B62E4" w:rsidRDefault="009B62E4" w:rsidP="009B62E4">
      <w:pPr>
        <w:spacing w:after="0" w:line="240" w:lineRule="auto"/>
        <w:rPr>
          <w:rFonts w:ascii="Times New Roman" w:eastAsia="Times New Roman" w:hAnsi="Times New Roman" w:cs="Times New Roman"/>
          <w:kern w:val="0"/>
          <w:sz w:val="22"/>
          <w:szCs w:val="22"/>
          <w:lang w:val="hr-HR" w:eastAsia="hr-HR"/>
          <w14:ligatures w14:val="none"/>
        </w:rPr>
      </w:pPr>
    </w:p>
    <w:p w14:paraId="3D61D0F8" w14:textId="77777777" w:rsidR="009B62E4" w:rsidRPr="009B62E4" w:rsidRDefault="009B62E4" w:rsidP="009B62E4">
      <w:pPr>
        <w:spacing w:line="254" w:lineRule="auto"/>
        <w:jc w:val="both"/>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Pravno uporište za donošenje ovakve Odluke je članak 42. stavak 1. Zakona o lokalnim porezima („Narodne novine“ broj 115/16, 101/17, 114/22, 114/23, 152/24) u svezi s čl. 12. st. 1. Zakona o izmjenama i dopunama Zakona o lokalnim porezima („Narodne novine" broj 152/24)  te čl. 30. Statuta Grada Omiša („Službeni glasnik Grada Omiša broj 4/09, 9/10, 2/13, 10/13, 1/18, 8/18, 2/21 i 13/22-pročišćeni tekst).</w:t>
      </w:r>
    </w:p>
    <w:p w14:paraId="6C9A9FFE" w14:textId="77777777" w:rsidR="009B62E4" w:rsidRPr="009B62E4" w:rsidRDefault="009B62E4" w:rsidP="009B62E4">
      <w:pPr>
        <w:spacing w:line="254" w:lineRule="auto"/>
        <w:jc w:val="both"/>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 xml:space="preserve">Na sjednici Hrvatskog Sabora održanoj dana 13.12.2024. godine usvojen je Zakon o izmjenama i dopunama Zakona o lokalnim porezima koji je objavljen u Narodnim novinama broj 152/24 dana 24.12.2024. godine sa stupanjem na snagu od 01.01.2025. godine. </w:t>
      </w:r>
    </w:p>
    <w:p w14:paraId="02F8D4AE" w14:textId="77777777" w:rsidR="009B62E4" w:rsidRPr="009B62E4" w:rsidRDefault="009B62E4" w:rsidP="009B62E4">
      <w:pPr>
        <w:spacing w:line="254" w:lineRule="auto"/>
        <w:jc w:val="both"/>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Budući da je navedenim zakonskim izmjenama, ukinut porez na kuće za odmor te je zamijenjen novim porezom na nekretnine, bilo je nužno da Grad Omiš kao jedinica lokalne samouprave, na odgovarajući način izmijeni dosadašnju Odluku o gradskim porezima i to na način da se umjesto ukinutog poreza na kuće za odmor, propiše novi porez na nekretnine te da se odredi visina tog poreza, kao i nadležno tijelo za utvrđivanje i naplatu, odnosno da se na pravilan i zakonit način provede usklađenje Odluke Grada Omiša s važećim zakonskim propisima. Odredbe Odluke koje se tiču poreza na potrošnju i poreza na korištenje javnih površina, ostaju nepromijenjene.</w:t>
      </w:r>
    </w:p>
    <w:p w14:paraId="53C746B5"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 xml:space="preserve">Nekretninom se, u smislu Zakona o lokalnim porezima („Narodne novine“ broj  115/16, 101/17, 114/22, 114/23, 152/24) smatra svaka stambena zgrada ili stambeni dio stambeno-poslovne zgrade ili stan te svaki drugi samostalni funkcionalni prostor namijenjen stanovanju. </w:t>
      </w:r>
    </w:p>
    <w:p w14:paraId="1EF073BC"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Obveznici plaćanja poreza na nekretnine su domaće i strane, pravne i fizičke osobe koje su vlasnici nekretnina na dan 31. ožujka godine za koju se utvrđuje porez.</w:t>
      </w:r>
    </w:p>
    <w:p w14:paraId="0994AEF2"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Porez na nekretnine lokalni je porez čiji se prihod dijeli:</w:t>
      </w:r>
    </w:p>
    <w:p w14:paraId="28081D82"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1.  80% udio jedinice lokalne samouprave na čijem se području nekretnina nalazi</w:t>
      </w:r>
    </w:p>
    <w:p w14:paraId="5A60C26A"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2. 20% udio jedinice područne (regionalne) samouprave na čijem se području nekretnina nalazi.</w:t>
      </w:r>
    </w:p>
    <w:p w14:paraId="4D0F5392"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 xml:space="preserve">Premda zakonodavac propisuje raspon poreza na nekretnine od 0,60 EUR do 8,00 EUR po metru kvadratnom korisne površine nekretnine Grad Omiš utvrđuje iznose poreza na nekretnine u okvirima iznosa koji su vrijedili kod oporezivanja kuća za odmor (zaokruženo) u visini od 0,70 €, 1,50 € odnosno 2,0 € po metru kvadratnom korisne površine nekretnine. </w:t>
      </w:r>
    </w:p>
    <w:p w14:paraId="6005D391"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Zakonom o izmjenama i dopuni Zakona o lokalnim porezima („Narodne novine“ broj 152/24) propisano je kako postupak naplate, evidentiranja, ovrhe poreza na nekretnine može voditi nadležna jedinica lokalne odnosno područne samouprave ili nadležna ispostava Porezne uprave Ministarstva financija, Grad zadržava mogućnost da takve postupke u njegovo ime i za njegov račun, kao i do sada,  vodi nadležna ispostava Porezne uprave Ministarstva financija.</w:t>
      </w:r>
    </w:p>
    <w:p w14:paraId="5A923F1C"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 xml:space="preserve">Ujedno, Zakonom o izmjenama i dopuni Zakona o lokalnim porezima („Narodne novine“ broj 152/24) i to u njegovim prijelaznim i završnim odredbama, konkretno člankom 12. stavkom 1. propisano je kako su jedinice lokalne samouprave dužne uskladiti svoje Odluke s odredbama navedenog zakona te ju dostaviti Poreznoj upravi najkasnije do 28. veljače 2025. godine za primjenu tijekom 2025. godine. Imajući u vidu naprijed navedene odredbe Zakona, ovom Odlukom postojeća Odluka o gradskim porezima se stavlja izvan snage  i donosi nova Odluka o </w:t>
      </w:r>
      <w:r w:rsidRPr="009B62E4">
        <w:rPr>
          <w:rFonts w:ascii="Arial" w:eastAsia="Calibri" w:hAnsi="Arial" w:cs="Arial"/>
          <w:kern w:val="0"/>
          <w:sz w:val="22"/>
          <w:szCs w:val="22"/>
          <w:lang w:val="hr-HR"/>
          <w14:ligatures w14:val="none"/>
        </w:rPr>
        <w:lastRenderedPageBreak/>
        <w:t>porezima Grada Omiša koja je usklađena sa izmjenama Zakona koje su stupile na snagu dana 01. siječnja 2025. godine, te se na taj način omogućuje njena primjena u 2025. godini.</w:t>
      </w:r>
    </w:p>
    <w:p w14:paraId="378C026B"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 xml:space="preserve">Slijedom navedenog, predlaže se Gradskom vijeću donošenje Odluke o porezima Grada Omiša u predloženom tekstu. </w:t>
      </w:r>
    </w:p>
    <w:p w14:paraId="11459645" w14:textId="77777777" w:rsidR="009B62E4" w:rsidRPr="009B62E4" w:rsidRDefault="009B62E4" w:rsidP="009B62E4">
      <w:pPr>
        <w:spacing w:line="254" w:lineRule="auto"/>
        <w:rPr>
          <w:rFonts w:ascii="Arial" w:eastAsia="Calibri" w:hAnsi="Arial" w:cs="Arial"/>
          <w:b/>
          <w:kern w:val="0"/>
          <w:sz w:val="22"/>
          <w:szCs w:val="22"/>
          <w:lang w:val="hr-HR"/>
          <w14:ligatures w14:val="none"/>
        </w:rPr>
      </w:pPr>
    </w:p>
    <w:p w14:paraId="35A28EE9" w14:textId="77777777" w:rsidR="009B62E4" w:rsidRPr="009B62E4" w:rsidRDefault="009B62E4" w:rsidP="009B62E4">
      <w:pPr>
        <w:spacing w:line="254" w:lineRule="auto"/>
        <w:rPr>
          <w:rFonts w:ascii="Arial" w:eastAsia="Calibri" w:hAnsi="Arial" w:cs="Arial"/>
          <w:kern w:val="0"/>
          <w:sz w:val="22"/>
          <w:szCs w:val="22"/>
          <w:lang w:val="hr-HR"/>
          <w14:ligatures w14:val="none"/>
        </w:rPr>
      </w:pPr>
      <w:r w:rsidRPr="009B62E4">
        <w:rPr>
          <w:rFonts w:ascii="Arial" w:eastAsia="Calibri" w:hAnsi="Arial" w:cs="Arial"/>
          <w:kern w:val="0"/>
          <w:sz w:val="22"/>
          <w:szCs w:val="22"/>
          <w:lang w:val="hr-HR"/>
          <w14:ligatures w14:val="none"/>
        </w:rPr>
        <w:t xml:space="preserve"> </w:t>
      </w:r>
    </w:p>
    <w:p w14:paraId="052ECDC6" w14:textId="77777777" w:rsidR="00C9472F" w:rsidRPr="009B62E4" w:rsidRDefault="00C9472F">
      <w:pPr>
        <w:rPr>
          <w:lang w:val="hr-HR"/>
        </w:rPr>
      </w:pPr>
    </w:p>
    <w:sectPr w:rsidR="00C9472F" w:rsidRPr="009B62E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2E4"/>
    <w:rsid w:val="001C75AB"/>
    <w:rsid w:val="004D371F"/>
    <w:rsid w:val="009B62E4"/>
    <w:rsid w:val="00C94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B4078"/>
  <w15:chartTrackingRefBased/>
  <w15:docId w15:val="{D5C0F53B-3513-4EFF-B909-67D8BBAB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62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62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62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62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62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62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62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62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2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62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62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62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62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62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62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62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62E4"/>
    <w:rPr>
      <w:rFonts w:eastAsiaTheme="majorEastAsia" w:cstheme="majorBidi"/>
      <w:color w:val="272727" w:themeColor="text1" w:themeTint="D8"/>
    </w:rPr>
  </w:style>
  <w:style w:type="paragraph" w:styleId="Title">
    <w:name w:val="Title"/>
    <w:basedOn w:val="Normal"/>
    <w:next w:val="Normal"/>
    <w:link w:val="TitleChar"/>
    <w:uiPriority w:val="10"/>
    <w:qFormat/>
    <w:rsid w:val="009B62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62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62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62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62E4"/>
    <w:pPr>
      <w:spacing w:before="160"/>
      <w:jc w:val="center"/>
    </w:pPr>
    <w:rPr>
      <w:i/>
      <w:iCs/>
      <w:color w:val="404040" w:themeColor="text1" w:themeTint="BF"/>
    </w:rPr>
  </w:style>
  <w:style w:type="character" w:customStyle="1" w:styleId="QuoteChar">
    <w:name w:val="Quote Char"/>
    <w:basedOn w:val="DefaultParagraphFont"/>
    <w:link w:val="Quote"/>
    <w:uiPriority w:val="29"/>
    <w:rsid w:val="009B62E4"/>
    <w:rPr>
      <w:i/>
      <w:iCs/>
      <w:color w:val="404040" w:themeColor="text1" w:themeTint="BF"/>
    </w:rPr>
  </w:style>
  <w:style w:type="paragraph" w:styleId="ListParagraph">
    <w:name w:val="List Paragraph"/>
    <w:basedOn w:val="Normal"/>
    <w:uiPriority w:val="34"/>
    <w:qFormat/>
    <w:rsid w:val="009B62E4"/>
    <w:pPr>
      <w:ind w:left="720"/>
      <w:contextualSpacing/>
    </w:pPr>
  </w:style>
  <w:style w:type="character" w:styleId="IntenseEmphasis">
    <w:name w:val="Intense Emphasis"/>
    <w:basedOn w:val="DefaultParagraphFont"/>
    <w:uiPriority w:val="21"/>
    <w:qFormat/>
    <w:rsid w:val="009B62E4"/>
    <w:rPr>
      <w:i/>
      <w:iCs/>
      <w:color w:val="0F4761" w:themeColor="accent1" w:themeShade="BF"/>
    </w:rPr>
  </w:style>
  <w:style w:type="paragraph" w:styleId="IntenseQuote">
    <w:name w:val="Intense Quote"/>
    <w:basedOn w:val="Normal"/>
    <w:next w:val="Normal"/>
    <w:link w:val="IntenseQuoteChar"/>
    <w:uiPriority w:val="30"/>
    <w:qFormat/>
    <w:rsid w:val="009B62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62E4"/>
    <w:rPr>
      <w:i/>
      <w:iCs/>
      <w:color w:val="0F4761" w:themeColor="accent1" w:themeShade="BF"/>
    </w:rPr>
  </w:style>
  <w:style w:type="character" w:styleId="IntenseReference">
    <w:name w:val="Intense Reference"/>
    <w:basedOn w:val="DefaultParagraphFont"/>
    <w:uiPriority w:val="32"/>
    <w:qFormat/>
    <w:rsid w:val="009B62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566175">
      <w:bodyDiv w:val="1"/>
      <w:marLeft w:val="0"/>
      <w:marRight w:val="0"/>
      <w:marTop w:val="0"/>
      <w:marBottom w:val="0"/>
      <w:divBdr>
        <w:top w:val="none" w:sz="0" w:space="0" w:color="auto"/>
        <w:left w:val="none" w:sz="0" w:space="0" w:color="auto"/>
        <w:bottom w:val="none" w:sz="0" w:space="0" w:color="auto"/>
        <w:right w:val="none" w:sz="0" w:space="0" w:color="auto"/>
      </w:divBdr>
    </w:div>
    <w:div w:id="17191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Meri Smailagic</dc:creator>
  <cp:keywords/>
  <dc:description/>
  <cp:lastModifiedBy>Meri Smailagic</cp:lastModifiedBy>
  <cp:revision>1</cp:revision>
  <cp:lastPrinted>2025-02-13T13:44:00Z</cp:lastPrinted>
  <dcterms:created xsi:type="dcterms:W3CDTF">2025-02-13T13:37:00Z</dcterms:created>
  <dcterms:modified xsi:type="dcterms:W3CDTF">2025-02-13T13:45:00Z</dcterms:modified>
</cp:coreProperties>
</file>