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1637F" w14:textId="2C70EFAB" w:rsidR="006A3A20" w:rsidRPr="00CB1645" w:rsidRDefault="006A3A20" w:rsidP="006A3A20">
      <w:pPr>
        <w:rPr>
          <w:rFonts w:ascii="Bookman Old Style" w:hAnsi="Bookman Old Style"/>
        </w:rPr>
      </w:pPr>
      <w:r w:rsidRPr="00CB1645">
        <w:rPr>
          <w:rFonts w:ascii="Bookman Old Style" w:hAnsi="Bookman Old Style"/>
        </w:rPr>
        <w:t xml:space="preserve">               </w:t>
      </w:r>
      <w:r w:rsidR="0066168C" w:rsidRPr="00CB1645">
        <w:rPr>
          <w:rFonts w:ascii="Bookman Old Style" w:hAnsi="Bookman Old Style"/>
        </w:rPr>
        <w:t xml:space="preserve">                     </w:t>
      </w:r>
      <w:r w:rsidRPr="00CB1645">
        <w:rPr>
          <w:rFonts w:ascii="Bookman Old Style" w:hAnsi="Bookman Old Style"/>
        </w:rPr>
        <w:object w:dxaOrig="1267" w:dyaOrig="1692" w14:anchorId="5E772C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51pt" o:ole="" fillcolor="window">
            <v:imagedata r:id="rId5" o:title=""/>
          </v:shape>
          <o:OLEObject Type="Embed" ProgID="CorelDRAW.Graphic.6" ShapeID="_x0000_i1025" DrawAspect="Content" ObjectID="_1851491386" r:id="rId6"/>
        </w:object>
      </w:r>
      <w:r w:rsidRPr="00CB1645">
        <w:rPr>
          <w:rFonts w:ascii="Bookman Old Style" w:hAnsi="Bookman Old Style"/>
        </w:rPr>
        <w:t xml:space="preserve">                                                                       </w:t>
      </w:r>
    </w:p>
    <w:p w14:paraId="4102D1DC" w14:textId="77777777" w:rsidR="006A3A20" w:rsidRPr="00CB1645" w:rsidRDefault="006A3A20" w:rsidP="006A3A20">
      <w:pPr>
        <w:pStyle w:val="Bezproreda"/>
        <w:rPr>
          <w:rFonts w:ascii="Bookman Old Style" w:hAnsi="Bookman Old Style"/>
        </w:rPr>
      </w:pPr>
      <w:r w:rsidRPr="00CB1645">
        <w:rPr>
          <w:rFonts w:ascii="Bookman Old Style" w:hAnsi="Bookman Old Style"/>
        </w:rPr>
        <w:t xml:space="preserve">           REPUBLIKA HRVATSKA</w:t>
      </w:r>
    </w:p>
    <w:p w14:paraId="2439ACC8" w14:textId="77777777" w:rsidR="006A3A20" w:rsidRPr="00CB1645" w:rsidRDefault="006A3A20" w:rsidP="006A3A20">
      <w:pPr>
        <w:pStyle w:val="Bezproreda"/>
        <w:rPr>
          <w:rFonts w:ascii="Bookman Old Style" w:hAnsi="Bookman Old Style"/>
        </w:rPr>
      </w:pPr>
      <w:r w:rsidRPr="00CB1645">
        <w:rPr>
          <w:rFonts w:ascii="Bookman Old Style" w:hAnsi="Bookman Old Style"/>
        </w:rPr>
        <w:t xml:space="preserve">SPLITSKO-DALMATINSKA ŽUPANIJA </w:t>
      </w:r>
    </w:p>
    <w:p w14:paraId="53A62F8D" w14:textId="77777777" w:rsidR="006A3A20" w:rsidRPr="00CB1645" w:rsidRDefault="006A3A20" w:rsidP="006A3A20">
      <w:pPr>
        <w:pStyle w:val="Bezproreda"/>
        <w:rPr>
          <w:rFonts w:ascii="Bookman Old Style" w:hAnsi="Bookman Old Style"/>
        </w:rPr>
      </w:pPr>
      <w:r w:rsidRPr="00CB1645">
        <w:rPr>
          <w:rFonts w:ascii="Bookman Old Style" w:hAnsi="Bookman Old Style"/>
        </w:rPr>
        <w:t xml:space="preserve">                      GRAD OMIŠ</w:t>
      </w:r>
    </w:p>
    <w:p w14:paraId="297B0539" w14:textId="77777777" w:rsidR="006A3A20" w:rsidRPr="00CB1645" w:rsidRDefault="006A3A20" w:rsidP="006A3A20">
      <w:pPr>
        <w:pStyle w:val="Bezproreda"/>
        <w:rPr>
          <w:rFonts w:ascii="Bookman Old Style" w:hAnsi="Bookman Old Style"/>
        </w:rPr>
      </w:pPr>
      <w:r w:rsidRPr="00CB1645">
        <w:rPr>
          <w:rFonts w:ascii="Bookman Old Style" w:hAnsi="Bookman Old Style"/>
        </w:rPr>
        <w:t xml:space="preserve">                GRADSKO VIJEĆE</w:t>
      </w:r>
    </w:p>
    <w:p w14:paraId="6F841CBE" w14:textId="77777777" w:rsidR="006A3A20" w:rsidRPr="00CB1645" w:rsidRDefault="006A3A20" w:rsidP="006A3A20">
      <w:pPr>
        <w:pStyle w:val="Bezproreda"/>
        <w:rPr>
          <w:rFonts w:ascii="Bookman Old Style" w:hAnsi="Bookman Old Style"/>
        </w:rPr>
      </w:pPr>
    </w:p>
    <w:p w14:paraId="3A4F9857" w14:textId="6C93C662" w:rsidR="006A3A20" w:rsidRPr="00CB1645" w:rsidRDefault="006A3A20" w:rsidP="006A3A20">
      <w:pPr>
        <w:pStyle w:val="Bezproreda"/>
        <w:rPr>
          <w:rFonts w:ascii="Bookman Old Style" w:hAnsi="Bookman Old Style"/>
          <w:bCs/>
          <w:lang w:eastAsia="hr-HR"/>
        </w:rPr>
      </w:pPr>
      <w:r w:rsidRPr="00CB1645">
        <w:rPr>
          <w:rFonts w:ascii="Bookman Old Style" w:hAnsi="Bookman Old Style"/>
          <w:bCs/>
          <w:lang w:eastAsia="hr-HR"/>
        </w:rPr>
        <w:t xml:space="preserve">KLASA: </w:t>
      </w:r>
    </w:p>
    <w:p w14:paraId="1A940A10" w14:textId="602B0116" w:rsidR="006A3A20" w:rsidRPr="00CB1645" w:rsidRDefault="006A3A20" w:rsidP="006A3A20">
      <w:pPr>
        <w:pStyle w:val="Bezproreda"/>
        <w:rPr>
          <w:rFonts w:ascii="Bookman Old Style" w:hAnsi="Bookman Old Style"/>
          <w:bCs/>
          <w:lang w:eastAsia="hr-HR"/>
        </w:rPr>
      </w:pPr>
      <w:r w:rsidRPr="00CB1645">
        <w:rPr>
          <w:rFonts w:ascii="Bookman Old Style" w:hAnsi="Bookman Old Style"/>
          <w:bCs/>
          <w:lang w:eastAsia="hr-HR"/>
        </w:rPr>
        <w:t xml:space="preserve">URBROJ: </w:t>
      </w:r>
    </w:p>
    <w:p w14:paraId="3C52D417" w14:textId="61D19B03" w:rsidR="006A3A20" w:rsidRPr="00CB1645" w:rsidRDefault="006A3A20" w:rsidP="006A3A20">
      <w:pPr>
        <w:pStyle w:val="Bezproreda"/>
        <w:rPr>
          <w:rFonts w:ascii="Bookman Old Style" w:hAnsi="Bookman Old Style"/>
        </w:rPr>
      </w:pPr>
      <w:r w:rsidRPr="00CB1645">
        <w:rPr>
          <w:rFonts w:ascii="Bookman Old Style" w:hAnsi="Bookman Old Style"/>
        </w:rPr>
        <w:t xml:space="preserve">U Omišu, </w:t>
      </w:r>
      <w:bookmarkStart w:id="0" w:name="_Hlk19684852"/>
      <w:r w:rsidRPr="00CB1645">
        <w:rPr>
          <w:rFonts w:ascii="Bookman Old Style" w:hAnsi="Bookman Old Style"/>
        </w:rPr>
        <w:t xml:space="preserve">       2026. god</w:t>
      </w:r>
      <w:bookmarkEnd w:id="0"/>
      <w:r w:rsidRPr="00CB1645">
        <w:rPr>
          <w:rFonts w:ascii="Bookman Old Style" w:hAnsi="Bookman Old Style"/>
        </w:rPr>
        <w:t>.</w:t>
      </w:r>
    </w:p>
    <w:p w14:paraId="1FACCD51" w14:textId="77777777" w:rsidR="006A3A20" w:rsidRPr="00CB1645" w:rsidRDefault="006A3A20" w:rsidP="006A3A20">
      <w:pPr>
        <w:pStyle w:val="Bezproreda"/>
        <w:rPr>
          <w:rFonts w:ascii="Bookman Old Style" w:hAnsi="Bookman Old Style"/>
        </w:rPr>
      </w:pPr>
    </w:p>
    <w:p w14:paraId="0BADF82D" w14:textId="6F0D6391" w:rsidR="006A3A20" w:rsidRPr="00CB1645" w:rsidRDefault="006A3A20" w:rsidP="006A3A20">
      <w:pPr>
        <w:pStyle w:val="Bezproreda"/>
        <w:rPr>
          <w:rFonts w:ascii="Bookman Old Style" w:hAnsi="Bookman Old Style"/>
        </w:rPr>
      </w:pPr>
      <w:r w:rsidRPr="00CB1645">
        <w:rPr>
          <w:rFonts w:ascii="Bookman Old Style" w:hAnsi="Bookman Old Style"/>
        </w:rPr>
        <w:t>PRIJEDLOG</w:t>
      </w:r>
    </w:p>
    <w:p w14:paraId="38979AA1" w14:textId="77777777" w:rsidR="006A3A20" w:rsidRPr="00CB1645" w:rsidRDefault="006A3A20" w:rsidP="006A3A20">
      <w:pPr>
        <w:pStyle w:val="Bezproreda"/>
        <w:rPr>
          <w:rFonts w:ascii="Bookman Old Style" w:hAnsi="Bookman Old Style"/>
        </w:rPr>
      </w:pPr>
    </w:p>
    <w:p w14:paraId="509F4CBF" w14:textId="546CA64D" w:rsidR="006A3A20" w:rsidRPr="00CB1645" w:rsidRDefault="006A3A20" w:rsidP="006A3A20">
      <w:pPr>
        <w:jc w:val="both"/>
        <w:rPr>
          <w:rFonts w:ascii="Bookman Old Style" w:hAnsi="Bookman Old Style"/>
        </w:rPr>
      </w:pPr>
      <w:r w:rsidRPr="00CB1645">
        <w:rPr>
          <w:rFonts w:ascii="Bookman Old Style" w:hAnsi="Bookman Old Style"/>
        </w:rPr>
        <w:t>Na temelju članka  109. Zakona o cestama (Narodne novine“ br. 84/11, 18/13, 22/13, 54/13, 148/13, 92/14) članak 35. Zakon o lokalnoj i područnoj (regionalnoj) samoupravi ("Narodne novine" br. 33/01., 60/01., 129/05., 109/07., 36/09., 125/08., 36/09., 150/11., 19/13. - službeni pročišćeni tekst, 144/12., 137/15. - službeni pročišćeni tekst, 123/17., 98/19., 144/20.) članka 25.  Statuta Grada Omiša (Službeni glasnik Grada Omiš, broj: 4/9, 9/10, 2/13 i 10/13,1/18,8/18 , 2/21 i 13/22 pročišćeni tekst) te Zaključka gradonačelnika Grada Omiša od  ____________godine, oznake KLASA:____________, URBROJ:____________, Gradsko vijeće Grada Omiša na ----. sjednici održanoj dana ------------2026. godine, donosi</w:t>
      </w:r>
    </w:p>
    <w:p w14:paraId="6E7908FF" w14:textId="77777777" w:rsidR="006A3A20" w:rsidRPr="00CB1645" w:rsidRDefault="006A3A20" w:rsidP="006A3A20">
      <w:pPr>
        <w:jc w:val="both"/>
        <w:rPr>
          <w:rFonts w:ascii="Bookman Old Style" w:hAnsi="Bookman Old Style"/>
        </w:rPr>
      </w:pPr>
    </w:p>
    <w:p w14:paraId="5F621F15" w14:textId="77777777" w:rsidR="006A3A20" w:rsidRPr="00CB1645" w:rsidRDefault="006A3A20" w:rsidP="006A3A20">
      <w:pPr>
        <w:pStyle w:val="Bezproreda"/>
        <w:jc w:val="center"/>
        <w:rPr>
          <w:rFonts w:ascii="Bookman Old Style" w:hAnsi="Bookman Old Style"/>
        </w:rPr>
      </w:pPr>
      <w:r w:rsidRPr="00CB1645">
        <w:rPr>
          <w:rFonts w:ascii="Bookman Old Style" w:hAnsi="Bookman Old Style"/>
        </w:rPr>
        <w:t>ODLUKU</w:t>
      </w:r>
    </w:p>
    <w:p w14:paraId="629075AC" w14:textId="232BB8ED" w:rsidR="002E671F" w:rsidRPr="00CB1645" w:rsidRDefault="002E671F" w:rsidP="006A3A20">
      <w:pPr>
        <w:pStyle w:val="Bezproreda"/>
        <w:jc w:val="center"/>
        <w:rPr>
          <w:rFonts w:ascii="Bookman Old Style" w:hAnsi="Bookman Old Style"/>
        </w:rPr>
      </w:pPr>
      <w:r w:rsidRPr="00CB1645">
        <w:rPr>
          <w:rFonts w:ascii="Bookman Old Style" w:hAnsi="Bookman Old Style"/>
        </w:rPr>
        <w:t>o izmjenama i dopunama Odluke o nerazvrstanim cestama Grada Omiša</w:t>
      </w:r>
    </w:p>
    <w:p w14:paraId="1ECA256C" w14:textId="77777777" w:rsidR="006A3A20" w:rsidRPr="00CB1645" w:rsidRDefault="006A3A20" w:rsidP="006A3A20">
      <w:pPr>
        <w:jc w:val="center"/>
        <w:rPr>
          <w:rFonts w:ascii="Bookman Old Style" w:hAnsi="Bookman Old Style"/>
        </w:rPr>
      </w:pPr>
    </w:p>
    <w:p w14:paraId="5AFF3B9F" w14:textId="10296310" w:rsidR="002E671F" w:rsidRPr="00CB1645" w:rsidRDefault="002E671F" w:rsidP="006A3A20">
      <w:pPr>
        <w:jc w:val="center"/>
        <w:rPr>
          <w:rFonts w:ascii="Bookman Old Style" w:hAnsi="Bookman Old Style"/>
        </w:rPr>
      </w:pPr>
      <w:r w:rsidRPr="00CB1645">
        <w:rPr>
          <w:rFonts w:ascii="Bookman Old Style" w:hAnsi="Bookman Old Style"/>
        </w:rPr>
        <w:t>Članak 1.</w:t>
      </w:r>
    </w:p>
    <w:p w14:paraId="0C9F316F" w14:textId="640DE08A" w:rsidR="002E671F" w:rsidRPr="00CB1645" w:rsidRDefault="002E671F" w:rsidP="002E671F">
      <w:pPr>
        <w:rPr>
          <w:rFonts w:ascii="Bookman Old Style" w:hAnsi="Bookman Old Style"/>
        </w:rPr>
      </w:pPr>
      <w:r w:rsidRPr="00CB1645">
        <w:rPr>
          <w:rFonts w:ascii="Bookman Old Style" w:hAnsi="Bookman Old Style"/>
        </w:rPr>
        <w:t xml:space="preserve">U Odluci o nerazvrstanim cestama Grada Omiša („Službeni glasnik Grada </w:t>
      </w:r>
      <w:r w:rsidRPr="00C15A35">
        <w:rPr>
          <w:rFonts w:ascii="Bookman Old Style" w:hAnsi="Bookman Old Style"/>
        </w:rPr>
        <w:t xml:space="preserve">Omiša“, </w:t>
      </w:r>
      <w:r w:rsidR="00C15A35" w:rsidRPr="00C15A35">
        <w:rPr>
          <w:rFonts w:ascii="Bookman Old Style" w:hAnsi="Bookman Old Style"/>
        </w:rPr>
        <w:t>4/26</w:t>
      </w:r>
      <w:r w:rsidR="006A3A20" w:rsidRPr="00C15A35">
        <w:rPr>
          <w:rFonts w:ascii="Bookman Old Style" w:hAnsi="Bookman Old Style"/>
        </w:rPr>
        <w:t xml:space="preserve"> </w:t>
      </w:r>
      <w:r w:rsidRPr="00C15A35">
        <w:rPr>
          <w:rFonts w:ascii="Bookman Old Style" w:hAnsi="Bookman Old Style"/>
        </w:rPr>
        <w:t xml:space="preserve">), članak </w:t>
      </w:r>
      <w:r w:rsidRPr="00CB1645">
        <w:rPr>
          <w:rFonts w:ascii="Bookman Old Style" w:hAnsi="Bookman Old Style"/>
        </w:rPr>
        <w:t>24. mijenja se i glasi:</w:t>
      </w:r>
    </w:p>
    <w:p w14:paraId="7918353F" w14:textId="4474C204" w:rsidR="006A3A20" w:rsidRPr="00CB1645" w:rsidRDefault="002E671F" w:rsidP="0066168C">
      <w:pPr>
        <w:rPr>
          <w:rFonts w:ascii="Bookman Old Style" w:hAnsi="Bookman Old Style"/>
        </w:rPr>
      </w:pPr>
      <w:r w:rsidRPr="00CB1645">
        <w:rPr>
          <w:rFonts w:ascii="Bookman Old Style" w:hAnsi="Bookman Old Style"/>
        </w:rPr>
        <w:t>„Članak 24.</w:t>
      </w:r>
    </w:p>
    <w:p w14:paraId="18332DD0" w14:textId="6F28D024" w:rsidR="006A3A20" w:rsidRPr="00CB1645" w:rsidRDefault="006A3A20" w:rsidP="006A3A20">
      <w:pPr>
        <w:jc w:val="both"/>
        <w:rPr>
          <w:rFonts w:ascii="Bookman Old Style" w:hAnsi="Bookman Old Style"/>
          <w:i/>
          <w:iCs/>
        </w:rPr>
      </w:pPr>
      <w:r w:rsidRPr="00CB1645">
        <w:rPr>
          <w:rFonts w:ascii="Bookman Old Style" w:hAnsi="Bookman Old Style"/>
          <w:i/>
          <w:iCs/>
        </w:rPr>
        <w:t>(1) Priključak i prilaz na nerazvrstanu cestu mora biti izgrađen tako da ne naruši stabilnost trupa ceste, da ne ugrožava sigurnost prometa, da ne oštećuje cestu i postojeći režim odvodnje.</w:t>
      </w:r>
    </w:p>
    <w:p w14:paraId="298FA134" w14:textId="01580D93" w:rsidR="006A3A20" w:rsidRPr="00CB1645" w:rsidRDefault="006A3A20" w:rsidP="006A3A20">
      <w:pPr>
        <w:jc w:val="both"/>
        <w:rPr>
          <w:rFonts w:ascii="Bookman Old Style" w:hAnsi="Bookman Old Style"/>
          <w:i/>
          <w:iCs/>
        </w:rPr>
      </w:pPr>
      <w:r w:rsidRPr="00CB1645">
        <w:rPr>
          <w:rFonts w:ascii="Bookman Old Style" w:hAnsi="Bookman Old Style"/>
          <w:i/>
          <w:iCs/>
        </w:rPr>
        <w:t>(2) Priključak i prilaz na nerazvrstanu cestu može biti izgrađen samo uz suglasnost Upravnog odjela za komunalno stambenu djelatnost, uređenje prostora i zaštitu okoliša Grada Omiša (u daljnjem tekstu Odjel).</w:t>
      </w:r>
    </w:p>
    <w:p w14:paraId="0C0652C1" w14:textId="1B575B58" w:rsidR="006A3A20" w:rsidRPr="00CB1645" w:rsidRDefault="006A3A20" w:rsidP="006A3A20">
      <w:pPr>
        <w:jc w:val="both"/>
        <w:rPr>
          <w:rFonts w:ascii="Bookman Old Style" w:hAnsi="Bookman Old Style"/>
          <w:i/>
          <w:iCs/>
        </w:rPr>
      </w:pPr>
      <w:r w:rsidRPr="00CB1645">
        <w:rPr>
          <w:rFonts w:ascii="Bookman Old Style" w:hAnsi="Bookman Old Style"/>
          <w:i/>
          <w:iCs/>
        </w:rPr>
        <w:t xml:space="preserve">(3) Utvrđivanja posebnih uvjeta i uvjeta priključenja građevne čestice odnosno zgrade na nerazvrstanu cestu utvrđuje Odjel u postupku izdavanja lokacijske </w:t>
      </w:r>
      <w:r w:rsidRPr="00CB1645">
        <w:rPr>
          <w:rFonts w:ascii="Bookman Old Style" w:hAnsi="Bookman Old Style"/>
          <w:i/>
          <w:iCs/>
        </w:rPr>
        <w:lastRenderedPageBreak/>
        <w:t>dozvole odnosno drugog akta kojim se provode dokumenti prostornog uređenja, a projektanti su dužni u opisu i grafičkom prikazu i/ili elaboratu precizno naznačiti i prikazati način spoja građevne čestice sa postojećom nerazvrstanom cestom u odnosu na sve tehničke karakteristike ( dimenzije, uzdužni i poprečni nagib, podloga, radijus zakrivljenosti i sl.)</w:t>
      </w:r>
    </w:p>
    <w:p w14:paraId="620103B0" w14:textId="7999C63F" w:rsidR="006A3A20" w:rsidRPr="00CB1645" w:rsidRDefault="006A3A20" w:rsidP="006A3A20">
      <w:pPr>
        <w:jc w:val="both"/>
        <w:rPr>
          <w:rFonts w:ascii="Bookman Old Style" w:hAnsi="Bookman Old Style"/>
          <w:i/>
          <w:iCs/>
        </w:rPr>
      </w:pPr>
      <w:r w:rsidRPr="00CB1645">
        <w:rPr>
          <w:rFonts w:ascii="Bookman Old Style" w:hAnsi="Bookman Old Style"/>
          <w:i/>
          <w:iCs/>
        </w:rPr>
        <w:t xml:space="preserve">(4) Odjel je u svakom pojedinom slučaju dužan procijeniti utjecaj planiranog zahvata u prostoru odnosno očekivane količine prometa vozila i  pješaka na nerazvrstanu cestu vodeći računa o tehničkim karakteristikama iste (širina, nagibi, nogostupi </w:t>
      </w:r>
      <w:proofErr w:type="spellStart"/>
      <w:r w:rsidRPr="00CB1645">
        <w:rPr>
          <w:rFonts w:ascii="Bookman Old Style" w:hAnsi="Bookman Old Style"/>
          <w:i/>
          <w:iCs/>
        </w:rPr>
        <w:t>isl</w:t>
      </w:r>
      <w:proofErr w:type="spellEnd"/>
      <w:r w:rsidRPr="00CB1645">
        <w:rPr>
          <w:rFonts w:ascii="Bookman Old Style" w:hAnsi="Bookman Old Style"/>
          <w:i/>
          <w:iCs/>
        </w:rPr>
        <w:t>.) radi osiguranja sigurnog odvijanja prometa vozila i pješaka.</w:t>
      </w:r>
    </w:p>
    <w:p w14:paraId="5BF7732B" w14:textId="6FBE7BA1" w:rsidR="006A3A20" w:rsidRPr="00CB1645" w:rsidRDefault="006A3A20" w:rsidP="006A3A20">
      <w:pPr>
        <w:jc w:val="both"/>
        <w:rPr>
          <w:rFonts w:ascii="Bookman Old Style" w:hAnsi="Bookman Old Style"/>
          <w:i/>
          <w:iCs/>
        </w:rPr>
      </w:pPr>
      <w:r w:rsidRPr="00CB1645">
        <w:rPr>
          <w:rFonts w:ascii="Bookman Old Style" w:hAnsi="Bookman Old Style"/>
          <w:i/>
          <w:iCs/>
        </w:rPr>
        <w:t>(5) Radi potrebe proširenja nerazvrstane ceste, gradnje nogostupa i/ili potreba samog održavanja Odjel je ovlašten zahtijevati veću udaljenost građevine od minimuma propisanog odredbama prostorno planske dokumentacije.</w:t>
      </w:r>
    </w:p>
    <w:p w14:paraId="3F0A189B" w14:textId="72242579" w:rsidR="006A3A20" w:rsidRPr="00CB1645" w:rsidRDefault="006A3A20" w:rsidP="006A3A20">
      <w:pPr>
        <w:jc w:val="both"/>
        <w:rPr>
          <w:rFonts w:ascii="Bookman Old Style" w:hAnsi="Bookman Old Style"/>
          <w:i/>
          <w:iCs/>
        </w:rPr>
      </w:pPr>
      <w:r w:rsidRPr="00CB1645">
        <w:rPr>
          <w:rFonts w:ascii="Bookman Old Style" w:hAnsi="Bookman Old Style"/>
          <w:i/>
          <w:iCs/>
        </w:rPr>
        <w:t xml:space="preserve">(6) Priključke i prilaze na nerazvrstanu cestu moraju održavati vlasnici, posjednici ili korisnici zemljišta koje graniči s nerazvrstanom cestom, na način kako je to uređeno ovom Odlukom.  </w:t>
      </w:r>
    </w:p>
    <w:p w14:paraId="015EBFF0" w14:textId="5C323516" w:rsidR="006A3A20" w:rsidRPr="00CB1645" w:rsidRDefault="006A3A20" w:rsidP="006A3A20">
      <w:pPr>
        <w:jc w:val="both"/>
        <w:rPr>
          <w:rFonts w:ascii="Bookman Old Style" w:hAnsi="Bookman Old Style"/>
          <w:i/>
          <w:iCs/>
        </w:rPr>
      </w:pPr>
      <w:r w:rsidRPr="00CB1645">
        <w:rPr>
          <w:rFonts w:ascii="Bookman Old Style" w:hAnsi="Bookman Old Style"/>
          <w:i/>
          <w:iCs/>
        </w:rPr>
        <w:t>(7) Ako vlasnici, posjednici ili korisnici zemljišta iz st. 3. ovoga članka ne održavaju priključak ili prilaz na nerazvrstanu cestu na način propisan ovom Odlukom, priključak ili prilaz na nerazvrstanu cestu popraviti će osoba koja održava nerazvrstane ceste, a o trošku vlasnika, posjednika ili korisnika.“</w:t>
      </w:r>
    </w:p>
    <w:p w14:paraId="11CE8F5D" w14:textId="77777777" w:rsidR="002E671F" w:rsidRPr="00CB1645" w:rsidRDefault="002E671F" w:rsidP="0066168C">
      <w:pPr>
        <w:jc w:val="center"/>
        <w:rPr>
          <w:rFonts w:ascii="Bookman Old Style" w:hAnsi="Bookman Old Style"/>
        </w:rPr>
      </w:pPr>
      <w:r w:rsidRPr="00CB1645">
        <w:rPr>
          <w:rFonts w:ascii="Bookman Old Style" w:hAnsi="Bookman Old Style"/>
        </w:rPr>
        <w:t>Članak 2.</w:t>
      </w:r>
    </w:p>
    <w:p w14:paraId="3C5E9C1B" w14:textId="77777777" w:rsidR="002E671F" w:rsidRPr="00CB1645" w:rsidRDefault="002E671F" w:rsidP="0066168C">
      <w:pPr>
        <w:jc w:val="both"/>
        <w:rPr>
          <w:rFonts w:ascii="Bookman Old Style" w:hAnsi="Bookman Old Style"/>
        </w:rPr>
      </w:pPr>
      <w:r w:rsidRPr="00CB1645">
        <w:rPr>
          <w:rFonts w:ascii="Bookman Old Style" w:hAnsi="Bookman Old Style"/>
        </w:rPr>
        <w:t>Popis nerazvrstanih cesta na području Grada Omiša, koji čini sastavni dio Odluke o nerazvrstanim cestama Grada Omiša, mijenja se i dopunjuje na način utvrđen u Tablici – Izmjene i dopune Popisa nerazvrstanih cesta, koja je sastavni dio ove Odluke.</w:t>
      </w:r>
    </w:p>
    <w:p w14:paraId="3957DDFB" w14:textId="4681801D" w:rsidR="002E671F" w:rsidRPr="00CB1645" w:rsidRDefault="002E671F" w:rsidP="0066168C">
      <w:pPr>
        <w:jc w:val="center"/>
        <w:rPr>
          <w:rFonts w:ascii="Bookman Old Style" w:hAnsi="Bookman Old Style"/>
        </w:rPr>
      </w:pPr>
      <w:r w:rsidRPr="00CB1645">
        <w:rPr>
          <w:rFonts w:ascii="Bookman Old Style" w:hAnsi="Bookman Old Style"/>
        </w:rPr>
        <w:t xml:space="preserve">Članak </w:t>
      </w:r>
      <w:r w:rsidR="00C15A35">
        <w:rPr>
          <w:rFonts w:ascii="Bookman Old Style" w:hAnsi="Bookman Old Style"/>
        </w:rPr>
        <w:t>3</w:t>
      </w:r>
      <w:r w:rsidRPr="00CB1645">
        <w:rPr>
          <w:rFonts w:ascii="Bookman Old Style" w:hAnsi="Bookman Old Style"/>
        </w:rPr>
        <w:t>.</w:t>
      </w:r>
    </w:p>
    <w:p w14:paraId="7AEBB0A9" w14:textId="77777777" w:rsidR="002E671F" w:rsidRPr="00CB1645" w:rsidRDefault="002E671F" w:rsidP="0066168C">
      <w:pPr>
        <w:jc w:val="both"/>
        <w:rPr>
          <w:rFonts w:ascii="Bookman Old Style" w:hAnsi="Bookman Old Style"/>
        </w:rPr>
      </w:pPr>
      <w:r w:rsidRPr="00CB1645">
        <w:rPr>
          <w:rFonts w:ascii="Bookman Old Style" w:hAnsi="Bookman Old Style"/>
        </w:rPr>
        <w:t>Grafički prikaz Popisa nerazvrstanih cesta na području Grada Omiša mijenja se i dopunjuje na način prikazan u grafičkim prilozima koji čine sastavni dio ove Odluke.</w:t>
      </w:r>
    </w:p>
    <w:p w14:paraId="3EE5325D" w14:textId="761BF139" w:rsidR="002E671F" w:rsidRPr="00CB1645" w:rsidRDefault="002E671F" w:rsidP="0066168C">
      <w:pPr>
        <w:jc w:val="center"/>
        <w:rPr>
          <w:rFonts w:ascii="Bookman Old Style" w:hAnsi="Bookman Old Style"/>
        </w:rPr>
      </w:pPr>
      <w:r w:rsidRPr="00CB1645">
        <w:rPr>
          <w:rFonts w:ascii="Bookman Old Style" w:hAnsi="Bookman Old Style"/>
        </w:rPr>
        <w:t xml:space="preserve">Članak </w:t>
      </w:r>
      <w:r w:rsidR="00C15A35">
        <w:rPr>
          <w:rFonts w:ascii="Bookman Old Style" w:hAnsi="Bookman Old Style"/>
        </w:rPr>
        <w:t>4</w:t>
      </w:r>
      <w:r w:rsidRPr="00CB1645">
        <w:rPr>
          <w:rFonts w:ascii="Bookman Old Style" w:hAnsi="Bookman Old Style"/>
        </w:rPr>
        <w:t>.</w:t>
      </w:r>
    </w:p>
    <w:p w14:paraId="79C9F412" w14:textId="7743C30E" w:rsidR="002E671F" w:rsidRPr="00CB1645" w:rsidRDefault="002E671F" w:rsidP="002E671F">
      <w:pPr>
        <w:rPr>
          <w:rFonts w:ascii="Bookman Old Style" w:hAnsi="Bookman Old Style"/>
        </w:rPr>
      </w:pPr>
      <w:r w:rsidRPr="00CB1645">
        <w:rPr>
          <w:rFonts w:ascii="Bookman Old Style" w:hAnsi="Bookman Old Style"/>
        </w:rPr>
        <w:t xml:space="preserve">Tablica – Izmjene i dopune Popisa nerazvrstanih cesta i </w:t>
      </w:r>
      <w:r w:rsidR="00C15A35">
        <w:rPr>
          <w:rFonts w:ascii="Bookman Old Style" w:hAnsi="Bookman Old Style"/>
        </w:rPr>
        <w:t>G</w:t>
      </w:r>
      <w:r w:rsidRPr="00CB1645">
        <w:rPr>
          <w:rFonts w:ascii="Bookman Old Style" w:hAnsi="Bookman Old Style"/>
        </w:rPr>
        <w:t>rafički prilozi čine sastavni dio ove Odluke.</w:t>
      </w:r>
    </w:p>
    <w:p w14:paraId="53A55205" w14:textId="77777777" w:rsidR="002E671F" w:rsidRDefault="002E671F" w:rsidP="002E671F">
      <w:pPr>
        <w:rPr>
          <w:rFonts w:ascii="Bookman Old Style" w:hAnsi="Bookman Old Style"/>
        </w:rPr>
      </w:pPr>
      <w:r w:rsidRPr="00CB1645">
        <w:rPr>
          <w:rFonts w:ascii="Bookman Old Style" w:hAnsi="Bookman Old Style"/>
        </w:rPr>
        <w:t>U ostalom dijelu Popis nerazvrstanih cesta i Grafički prikaz nerazvrstanih cesta ostaju neizmijenjeni.</w:t>
      </w:r>
    </w:p>
    <w:p w14:paraId="0EAC1CA4" w14:textId="77777777" w:rsidR="00C15A35" w:rsidRDefault="00C15A35" w:rsidP="002E671F">
      <w:pPr>
        <w:rPr>
          <w:rFonts w:ascii="Bookman Old Style" w:hAnsi="Bookman Old Style"/>
        </w:rPr>
      </w:pPr>
    </w:p>
    <w:p w14:paraId="78BE1F98" w14:textId="77777777" w:rsidR="00C15A35" w:rsidRPr="00CB1645" w:rsidRDefault="00C15A35" w:rsidP="002E671F">
      <w:pPr>
        <w:rPr>
          <w:rFonts w:ascii="Bookman Old Style" w:hAnsi="Bookman Old Style"/>
        </w:rPr>
      </w:pPr>
    </w:p>
    <w:p w14:paraId="084870D9" w14:textId="4FEEDC4E" w:rsidR="002E671F" w:rsidRPr="00CB1645" w:rsidRDefault="002E671F" w:rsidP="0066168C">
      <w:pPr>
        <w:jc w:val="center"/>
        <w:rPr>
          <w:rFonts w:ascii="Bookman Old Style" w:hAnsi="Bookman Old Style"/>
        </w:rPr>
      </w:pPr>
      <w:r w:rsidRPr="00CB1645">
        <w:rPr>
          <w:rFonts w:ascii="Bookman Old Style" w:hAnsi="Bookman Old Style"/>
        </w:rPr>
        <w:lastRenderedPageBreak/>
        <w:t xml:space="preserve">Članak </w:t>
      </w:r>
      <w:r w:rsidR="00C15A35">
        <w:rPr>
          <w:rFonts w:ascii="Bookman Old Style" w:hAnsi="Bookman Old Style"/>
        </w:rPr>
        <w:t>5</w:t>
      </w:r>
      <w:r w:rsidRPr="00CB1645">
        <w:rPr>
          <w:rFonts w:ascii="Bookman Old Style" w:hAnsi="Bookman Old Style"/>
        </w:rPr>
        <w:t>.</w:t>
      </w:r>
    </w:p>
    <w:p w14:paraId="5E1DDEF1" w14:textId="77777777" w:rsidR="002E671F" w:rsidRPr="00CB1645" w:rsidRDefault="002E671F" w:rsidP="002E671F">
      <w:pPr>
        <w:rPr>
          <w:rFonts w:ascii="Bookman Old Style" w:hAnsi="Bookman Old Style"/>
        </w:rPr>
      </w:pPr>
      <w:r w:rsidRPr="00CB1645">
        <w:rPr>
          <w:rFonts w:ascii="Bookman Old Style" w:hAnsi="Bookman Old Style"/>
        </w:rPr>
        <w:t>Ostale odredbe Odluke o nerazvrstanim cestama Grada Omiša ostaju neizmijenjene.</w:t>
      </w:r>
    </w:p>
    <w:p w14:paraId="3AFEA08A" w14:textId="0ED8C520" w:rsidR="002E671F" w:rsidRPr="00CB1645" w:rsidRDefault="002E671F" w:rsidP="0066168C">
      <w:pPr>
        <w:jc w:val="center"/>
        <w:rPr>
          <w:rFonts w:ascii="Bookman Old Style" w:hAnsi="Bookman Old Style"/>
        </w:rPr>
      </w:pPr>
      <w:r w:rsidRPr="00CB1645">
        <w:rPr>
          <w:rFonts w:ascii="Bookman Old Style" w:hAnsi="Bookman Old Style"/>
        </w:rPr>
        <w:t xml:space="preserve">Članak </w:t>
      </w:r>
      <w:r w:rsidR="00C15A35">
        <w:rPr>
          <w:rFonts w:ascii="Bookman Old Style" w:hAnsi="Bookman Old Style"/>
        </w:rPr>
        <w:t>6</w:t>
      </w:r>
      <w:r w:rsidRPr="00CB1645">
        <w:rPr>
          <w:rFonts w:ascii="Bookman Old Style" w:hAnsi="Bookman Old Style"/>
        </w:rPr>
        <w:t>.</w:t>
      </w:r>
    </w:p>
    <w:p w14:paraId="55619191" w14:textId="77777777" w:rsidR="002E671F" w:rsidRPr="00CB1645" w:rsidRDefault="002E671F" w:rsidP="002E671F">
      <w:pPr>
        <w:rPr>
          <w:rFonts w:ascii="Bookman Old Style" w:hAnsi="Bookman Old Style"/>
        </w:rPr>
      </w:pPr>
      <w:r w:rsidRPr="00CB1645">
        <w:rPr>
          <w:rFonts w:ascii="Bookman Old Style" w:hAnsi="Bookman Old Style"/>
        </w:rPr>
        <w:t>Ova Odluka stupa na snagu osmoga dana od dana objave u „Službenom glasniku Grada Omiša“.</w:t>
      </w:r>
    </w:p>
    <w:p w14:paraId="4A6C3F66" w14:textId="77777777" w:rsidR="002E671F" w:rsidRPr="00CB1645" w:rsidRDefault="002E671F">
      <w:pPr>
        <w:rPr>
          <w:rFonts w:ascii="Bookman Old Style" w:hAnsi="Bookman Old Style"/>
        </w:rPr>
      </w:pPr>
    </w:p>
    <w:sectPr w:rsidR="002E671F" w:rsidRPr="00CB16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5093"/>
    <w:multiLevelType w:val="hybridMultilevel"/>
    <w:tmpl w:val="93AA6B2C"/>
    <w:lvl w:ilvl="0" w:tplc="F2DA3AFE">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87261E"/>
    <w:multiLevelType w:val="hybridMultilevel"/>
    <w:tmpl w:val="9F283B8E"/>
    <w:lvl w:ilvl="0" w:tplc="22348DC4">
      <w:start w:val="1"/>
      <w:numFmt w:val="decimal"/>
      <w:lvlText w:val="(%1)"/>
      <w:lvlJc w:val="left"/>
      <w:pPr>
        <w:ind w:left="720" w:hanging="360"/>
      </w:pPr>
      <w:rPr>
        <w:rFonts w:asciiTheme="minorHAnsi" w:eastAsiaTheme="minorHAnsi" w:hAnsiTheme="minorHAnsi" w:cstheme="minorBidi"/>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42139E2"/>
    <w:multiLevelType w:val="hybridMultilevel"/>
    <w:tmpl w:val="6A8A9DB6"/>
    <w:lvl w:ilvl="0" w:tplc="7C0EC6BA">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BE47829"/>
    <w:multiLevelType w:val="hybridMultilevel"/>
    <w:tmpl w:val="954C0644"/>
    <w:lvl w:ilvl="0" w:tplc="8F344398">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8BE75F7"/>
    <w:multiLevelType w:val="hybridMultilevel"/>
    <w:tmpl w:val="C7360380"/>
    <w:lvl w:ilvl="0" w:tplc="AC82684C">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D447145"/>
    <w:multiLevelType w:val="multilevel"/>
    <w:tmpl w:val="46A8F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7039472">
    <w:abstractNumId w:val="5"/>
  </w:num>
  <w:num w:numId="2" w16cid:durableId="1119958833">
    <w:abstractNumId w:val="1"/>
  </w:num>
  <w:num w:numId="3" w16cid:durableId="1154181178">
    <w:abstractNumId w:val="2"/>
  </w:num>
  <w:num w:numId="4" w16cid:durableId="150949178">
    <w:abstractNumId w:val="0"/>
  </w:num>
  <w:num w:numId="5" w16cid:durableId="1834099649">
    <w:abstractNumId w:val="4"/>
  </w:num>
  <w:num w:numId="6" w16cid:durableId="16896784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71F"/>
    <w:rsid w:val="00041E0E"/>
    <w:rsid w:val="002E671F"/>
    <w:rsid w:val="005600BD"/>
    <w:rsid w:val="0066168C"/>
    <w:rsid w:val="006A3A20"/>
    <w:rsid w:val="00A468B2"/>
    <w:rsid w:val="00C15A35"/>
    <w:rsid w:val="00CB1645"/>
    <w:rsid w:val="00E94D8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BF2EC"/>
  <w15:chartTrackingRefBased/>
  <w15:docId w15:val="{59701481-2719-4E04-A9E8-BFB333BA4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2E67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2E67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2E671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2E671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2E671F"/>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2E671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E671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E671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E671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E671F"/>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2E671F"/>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2E671F"/>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2E671F"/>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2E671F"/>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2E671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E671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E671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E671F"/>
    <w:rPr>
      <w:rFonts w:eastAsiaTheme="majorEastAsia" w:cstheme="majorBidi"/>
      <w:color w:val="272727" w:themeColor="text1" w:themeTint="D8"/>
    </w:rPr>
  </w:style>
  <w:style w:type="paragraph" w:styleId="Naslov">
    <w:name w:val="Title"/>
    <w:basedOn w:val="Normal"/>
    <w:next w:val="Normal"/>
    <w:link w:val="NaslovChar"/>
    <w:uiPriority w:val="10"/>
    <w:qFormat/>
    <w:rsid w:val="002E6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E671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E671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E671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E671F"/>
    <w:pPr>
      <w:spacing w:before="160"/>
      <w:jc w:val="center"/>
    </w:pPr>
    <w:rPr>
      <w:i/>
      <w:iCs/>
      <w:color w:val="404040" w:themeColor="text1" w:themeTint="BF"/>
    </w:rPr>
  </w:style>
  <w:style w:type="character" w:customStyle="1" w:styleId="CitatChar">
    <w:name w:val="Citat Char"/>
    <w:basedOn w:val="Zadanifontodlomka"/>
    <w:link w:val="Citat"/>
    <w:uiPriority w:val="29"/>
    <w:rsid w:val="002E671F"/>
    <w:rPr>
      <w:i/>
      <w:iCs/>
      <w:color w:val="404040" w:themeColor="text1" w:themeTint="BF"/>
    </w:rPr>
  </w:style>
  <w:style w:type="paragraph" w:styleId="Odlomakpopisa">
    <w:name w:val="List Paragraph"/>
    <w:basedOn w:val="Normal"/>
    <w:uiPriority w:val="34"/>
    <w:qFormat/>
    <w:rsid w:val="002E671F"/>
    <w:pPr>
      <w:ind w:left="720"/>
      <w:contextualSpacing/>
    </w:pPr>
  </w:style>
  <w:style w:type="character" w:styleId="Jakoisticanje">
    <w:name w:val="Intense Emphasis"/>
    <w:basedOn w:val="Zadanifontodlomka"/>
    <w:uiPriority w:val="21"/>
    <w:qFormat/>
    <w:rsid w:val="002E671F"/>
    <w:rPr>
      <w:i/>
      <w:iCs/>
      <w:color w:val="0F4761" w:themeColor="accent1" w:themeShade="BF"/>
    </w:rPr>
  </w:style>
  <w:style w:type="paragraph" w:styleId="Naglaencitat">
    <w:name w:val="Intense Quote"/>
    <w:basedOn w:val="Normal"/>
    <w:next w:val="Normal"/>
    <w:link w:val="NaglaencitatChar"/>
    <w:uiPriority w:val="30"/>
    <w:qFormat/>
    <w:rsid w:val="002E67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2E671F"/>
    <w:rPr>
      <w:i/>
      <w:iCs/>
      <w:color w:val="0F4761" w:themeColor="accent1" w:themeShade="BF"/>
    </w:rPr>
  </w:style>
  <w:style w:type="character" w:styleId="Istaknutareferenca">
    <w:name w:val="Intense Reference"/>
    <w:basedOn w:val="Zadanifontodlomka"/>
    <w:uiPriority w:val="32"/>
    <w:qFormat/>
    <w:rsid w:val="002E671F"/>
    <w:rPr>
      <w:b/>
      <w:bCs/>
      <w:smallCaps/>
      <w:color w:val="0F4761" w:themeColor="accent1" w:themeShade="BF"/>
      <w:spacing w:val="5"/>
    </w:rPr>
  </w:style>
  <w:style w:type="paragraph" w:styleId="Bezproreda">
    <w:name w:val="No Spacing"/>
    <w:uiPriority w:val="1"/>
    <w:qFormat/>
    <w:rsid w:val="006A3A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600</Words>
  <Characters>3423</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Ruža Jolić</dc:creator>
  <cp:keywords/>
  <dc:description/>
  <cp:lastModifiedBy>Jelena Berković</cp:lastModifiedBy>
  <cp:revision>2</cp:revision>
  <cp:lastPrinted>2026-09-21T07:24:00Z</cp:lastPrinted>
  <dcterms:created xsi:type="dcterms:W3CDTF">2026-09-21T08:23:00Z</dcterms:created>
  <dcterms:modified xsi:type="dcterms:W3CDTF">2026-09-21T08:23:00Z</dcterms:modified>
</cp:coreProperties>
</file>